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rPr>
      </w:pPr>
      <w:bookmarkStart w:colFirst="0" w:colLast="0" w:name="_x4tx5455wxcu" w:id="0"/>
      <w:bookmarkEnd w:id="0"/>
      <w:r w:rsidDel="00000000" w:rsidR="00000000" w:rsidRPr="00000000">
        <w:rPr>
          <w:rFonts w:ascii="Arial Unicode MS" w:cs="Arial Unicode MS" w:eastAsia="Arial Unicode MS" w:hAnsi="Arial Unicode MS"/>
          <w:b w:val="1"/>
          <w:rtl w:val="0"/>
        </w:rPr>
        <w:t xml:space="preserve">對MEV的全面分析：什麼是MEV以及如何執行？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在區塊鏈領域，MEV（礦工可提取價值，或在權益證明系統中稱為最大可提取價值）指的是區塊生產者（如在工作量證明中為礦工或在權益證明中為驗證者）通過操縱區塊內的交易順序、排除特定交易或直接修改交易來提取的額外利潤。這種行為不僅會影響區塊鏈網絡的公平性和去中心化，還為具有高級技術技能的個人或團隊創造了顯著的財務機會。</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b w:val="1"/>
        </w:rPr>
      </w:pPr>
      <w:bookmarkStart w:colFirst="0" w:colLast="0" w:name="_xh5sld1l9hnq" w:id="1"/>
      <w:bookmarkEnd w:id="1"/>
      <w:r w:rsidDel="00000000" w:rsidR="00000000" w:rsidRPr="00000000">
        <w:rPr>
          <w:rFonts w:ascii="Arial Unicode MS" w:cs="Arial Unicode MS" w:eastAsia="Arial Unicode MS" w:hAnsi="Arial Unicode MS"/>
          <w:b w:val="1"/>
          <w:rtl w:val="0"/>
        </w:rPr>
        <w:t xml:space="preserve">1. MEV如何運作</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在區塊鏈中，每當一筆交易提交到網絡時，它首先進入內存池（存儲待處理交易的臨時空間）。區塊生產者負責從內存池中選擇交易並將其打包到新塊中。通常，交易是按支付的費用順序排列的，費用較高的交易優先被確認。</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然而，一些區塊生產者可以利用他們對交易順序的控制來重新排序交易並提取額外的利潤。例如，在搶先交易中，區塊生產者可以在即將執行的高價值交易之前插入自己的交易，從而捕獲套利利潤。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b w:val="1"/>
        </w:rPr>
      </w:pPr>
      <w:bookmarkStart w:colFirst="0" w:colLast="0" w:name="_7pul23au4u76" w:id="2"/>
      <w:bookmarkEnd w:id="2"/>
      <w:r w:rsidDel="00000000" w:rsidR="00000000" w:rsidRPr="00000000">
        <w:rPr>
          <w:rFonts w:ascii="Arial Unicode MS" w:cs="Arial Unicode MS" w:eastAsia="Arial Unicode MS" w:hAnsi="Arial Unicode MS"/>
          <w:b w:val="1"/>
          <w:rtl w:val="0"/>
        </w:rPr>
        <w:t xml:space="preserve">2. 常見的MEV策略</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以下是一些常見的MEV策略：</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b w:val="1"/>
          <w:rtl w:val="0"/>
        </w:rPr>
        <w:t xml:space="preserve">搶先交易（Front-Running）</w:t>
      </w:r>
      <w:r w:rsidDel="00000000" w:rsidR="00000000" w:rsidRPr="00000000">
        <w:rPr>
          <w:rFonts w:ascii="Arial Unicode MS" w:cs="Arial Unicode MS" w:eastAsia="Arial Unicode MS" w:hAnsi="Arial Unicode MS"/>
          <w:rtl w:val="0"/>
        </w:rPr>
        <w:t xml:space="preserve">：當MEV機器人檢測到一筆即將包含在區塊中的有利可圖的交易時，它會立即提交一筆類似的交易，但支付更高的費用，以確保其交易在目標交易之前被執行。這種技術可用於在去中心化交易所（DEX）以低價購買資產。</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b w:val="1"/>
          <w:rtl w:val="0"/>
        </w:rPr>
        <w:t xml:space="preserve">夾層攻擊（Sandwich Attack）</w:t>
      </w:r>
      <w:r w:rsidDel="00000000" w:rsidR="00000000" w:rsidRPr="00000000">
        <w:rPr>
          <w:rFonts w:ascii="Arial Unicode MS" w:cs="Arial Unicode MS" w:eastAsia="Arial Unicode MS" w:hAnsi="Arial Unicode MS"/>
          <w:rtl w:val="0"/>
        </w:rPr>
        <w:t xml:space="preserve">：這是搶先交易的變體。攻擊者在目標交易之前和之後分別下達買賣訂單，通過操縱資產價格在短時間內獲利。這種策略對大額交易尤為有效，因為這些交易往往對市場價格產生顯著影響。</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b w:val="1"/>
          <w:rtl w:val="0"/>
        </w:rPr>
        <w:t xml:space="preserve">套利交易（Arbitrage Trading）</w:t>
      </w:r>
      <w:r w:rsidDel="00000000" w:rsidR="00000000" w:rsidRPr="00000000">
        <w:rPr>
          <w:rFonts w:ascii="Arial Unicode MS" w:cs="Arial Unicode MS" w:eastAsia="Arial Unicode MS" w:hAnsi="Arial Unicode MS"/>
          <w:rtl w:val="0"/>
        </w:rPr>
        <w:t xml:space="preserve">：區塊生產者利用不同去中心化交易所之間的價格差異，通過在一個交易所低價買入並在另一個交易所高價賣出進行套利。例如，當一個代幣在兩個交易所之間存在價格差異時，MEV機器人可以在價格較低的交易所買入該代幣，並在價格較高的交易所賣出。</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b w:val="1"/>
          <w:rtl w:val="0"/>
        </w:rPr>
        <w:t xml:space="preserve">去中心化金融（DeFi）清算</w:t>
      </w:r>
      <w:r w:rsidDel="00000000" w:rsidR="00000000" w:rsidRPr="00000000">
        <w:rPr>
          <w:rFonts w:ascii="Arial Unicode MS" w:cs="Arial Unicode MS" w:eastAsia="Arial Unicode MS" w:hAnsi="Arial Unicode MS"/>
          <w:rtl w:val="0"/>
        </w:rPr>
        <w:t xml:space="preserve">：在DeFi借貸平台上，如果借款人的抵押品價值跌至某個門檻以下，該抵押品將被強制清算。MEV機器人會優先執行這些清算交易以獲取利潤。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b w:val="1"/>
        </w:rPr>
      </w:pPr>
      <w:bookmarkStart w:colFirst="0" w:colLast="0" w:name="_w2w8xsgaxltw" w:id="3"/>
      <w:bookmarkEnd w:id="3"/>
      <w:r w:rsidDel="00000000" w:rsidR="00000000" w:rsidRPr="00000000">
        <w:rPr>
          <w:rFonts w:ascii="Arial Unicode MS" w:cs="Arial Unicode MS" w:eastAsia="Arial Unicode MS" w:hAnsi="Arial Unicode MS"/>
          <w:b w:val="1"/>
          <w:rtl w:val="0"/>
        </w:rPr>
        <w:t xml:space="preserve">3. MEV的風險與影響</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儘管MEV可以為區塊生產者帶來額外的利潤，但它也對區塊鏈網絡構成了潛在的風險和負面影響。首先，MEV可能導致不公平的交易排序，破壞區塊鏈的透明度和可信度。其次，由於高技術門檻，一些礦工或驗證者在網絡中佔據優勢，導致網絡中心化。</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此外，當許多參與者同時競爭MEV機會時，可能導致網絡擁堵和交易費用飆升，進一步損害網絡效率和用戶體驗。在某些DeFi生態系統中，MEV幾乎已成為一種隱性稅，增加了所有用戶的交易成本。</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dpdlb1bjvmc6" w:id="4"/>
      <w:bookmarkEnd w:id="4"/>
      <w:r w:rsidDel="00000000" w:rsidR="00000000" w:rsidRPr="00000000">
        <w:rPr>
          <w:rFonts w:ascii="Arial Unicode MS" w:cs="Arial Unicode MS" w:eastAsia="Arial Unicode MS" w:hAnsi="Arial Unicode MS"/>
          <w:b w:val="1"/>
          <w:rtl w:val="0"/>
        </w:rPr>
        <w:t xml:space="preserve">4. 如何執行MEV策略</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執行MEV策略通常需要高級技術工具，如MEV機器人或專門的分析軟件。這些工具可以實時監控內存池中的交易，並自動識別和執行有利可圖的交易策略。以下是執行MEV的具體步驟：</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b w:val="1"/>
          <w:rtl w:val="0"/>
        </w:rPr>
        <w:t xml:space="preserve">部署MEV機器人</w:t>
      </w:r>
      <w:r w:rsidDel="00000000" w:rsidR="00000000" w:rsidRPr="00000000">
        <w:rPr>
          <w:rFonts w:ascii="Arial Unicode MS" w:cs="Arial Unicode MS" w:eastAsia="Arial Unicode MS" w:hAnsi="Arial Unicode MS"/>
          <w:rtl w:val="0"/>
        </w:rPr>
        <w:t xml:space="preserve">：這些機器人可以自動掃描內存池，並根據預設的算法和策略過濾出潛在的有利可圖的交易。</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b w:val="1"/>
          <w:rtl w:val="0"/>
        </w:rPr>
        <w:t xml:space="preserve">設置搶先交易</w:t>
      </w:r>
      <w:r w:rsidDel="00000000" w:rsidR="00000000" w:rsidRPr="00000000">
        <w:rPr>
          <w:rFonts w:ascii="Arial Unicode MS" w:cs="Arial Unicode MS" w:eastAsia="Arial Unicode MS" w:hAnsi="Arial Unicode MS"/>
          <w:rtl w:val="0"/>
        </w:rPr>
        <w:t xml:space="preserve">：當機器人檢測到有利可圖的交易時，它會發送一筆類似的交易，並支付更高的費用，以確保其交易首先被執行。</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b w:val="1"/>
          <w:rtl w:val="0"/>
        </w:rPr>
        <w:t xml:space="preserve">監控市場動向</w:t>
      </w:r>
      <w:r w:rsidDel="00000000" w:rsidR="00000000" w:rsidRPr="00000000">
        <w:rPr>
          <w:rFonts w:ascii="Arial Unicode MS" w:cs="Arial Unicode MS" w:eastAsia="Arial Unicode MS" w:hAnsi="Arial Unicode MS"/>
          <w:rtl w:val="0"/>
        </w:rPr>
        <w:t xml:space="preserve">：MEV機器人通常連接到多個去中心化交易所的價格信息系統，實時監控市場價格波動，並在價格差異出現時快速執行套利交易。</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b w:val="1"/>
          <w:rtl w:val="0"/>
        </w:rPr>
        <w:t xml:space="preserve">自動清算和資產轉移</w:t>
      </w:r>
      <w:r w:rsidDel="00000000" w:rsidR="00000000" w:rsidRPr="00000000">
        <w:rPr>
          <w:rFonts w:ascii="Arial Unicode MS" w:cs="Arial Unicode MS" w:eastAsia="Arial Unicode MS" w:hAnsi="Arial Unicode MS"/>
          <w:rtl w:val="0"/>
        </w:rPr>
        <w:t xml:space="preserve">：在DeFi借貸平台上，機器人可以自動監控抵押品價值的變化，並在條件滿足時優先執行清算交易。</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m0gkpkfln75j" w:id="5"/>
      <w:bookmarkEnd w:id="5"/>
      <w:r w:rsidDel="00000000" w:rsidR="00000000" w:rsidRPr="00000000">
        <w:rPr>
          <w:rFonts w:ascii="Arial Unicode MS" w:cs="Arial Unicode MS" w:eastAsia="Arial Unicode MS" w:hAnsi="Arial Unicode MS"/>
          <w:b w:val="1"/>
          <w:rtl w:val="0"/>
        </w:rPr>
        <w:t xml:space="preserve">5. 緩解MEV的策略</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區塊鏈開發者和社區成員提出了幾種減少MEV風險的方法。例如，使用隱私技術（如零知識證明）隱藏交易細節，或引入更複雜的智能合約語言以減少漏洞。此外，一些區塊鏈，如比特幣，選擇保持智能合約功能的簡單性，以限制MEV的發生。</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b w:val="1"/>
        </w:rPr>
      </w:pPr>
      <w:bookmarkStart w:colFirst="0" w:colLast="0" w:name="_biucw3ejywt" w:id="6"/>
      <w:bookmarkEnd w:id="6"/>
      <w:r w:rsidDel="00000000" w:rsidR="00000000" w:rsidRPr="00000000">
        <w:rPr>
          <w:rFonts w:ascii="Arial Unicode MS" w:cs="Arial Unicode MS" w:eastAsia="Arial Unicode MS" w:hAnsi="Arial Unicode MS"/>
          <w:b w:val="1"/>
          <w:rtl w:val="0"/>
        </w:rPr>
        <w:t xml:space="preserve">6. 結論</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MEV是一個不容忽視的現象。儘管它為區塊生產者帶來了潛在的利潤機會，但也對區塊鏈網絡的公平性、去中心化和用戶體驗構成了挑戰。理解和緩解MEV的風險對於區塊鏈技術的可持續發展至關重要。隨著區塊鏈技術的持續發展，持續的挑戰將是如何在增強智能合約表達能力的同時，最大限度地減少與MEV相關的風險。</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