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554EE5">
      <w:pPr>
        <w:spacing w:after="240"/>
        <w:jc w:val="center"/>
        <w:outlineLvl w:val="9"/>
        <w:rPr>
          <w:rFonts w:ascii="仿宋_GB2312" w:hAnsi="仿宋_GB2312" w:eastAsia="仿宋_GB2312"/>
          <w:b/>
          <w:color w:val="000000"/>
          <w:sz w:val="28"/>
        </w:rPr>
      </w:pPr>
      <w:bookmarkStart w:id="90" w:name="_GoBack"/>
      <w:r>
        <w:drawing>
          <wp:anchor distT="0" distB="0" distL="114300" distR="114300" simplePos="0" relativeHeight="251663360" behindDoc="0" locked="0" layoutInCell="1" allowOverlap="1">
            <wp:simplePos x="0" y="0"/>
            <wp:positionH relativeFrom="column">
              <wp:posOffset>-1158240</wp:posOffset>
            </wp:positionH>
            <wp:positionV relativeFrom="paragraph">
              <wp:posOffset>-866775</wp:posOffset>
            </wp:positionV>
            <wp:extent cx="8778240" cy="5046980"/>
            <wp:effectExtent l="0" t="0" r="0" b="0"/>
            <wp:wrapNone/>
            <wp:docPr id="45" name="图片 45" descr="冰清玉洁"/>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aiwordart" s:val="{&quot;id&quot;:&quot;12934973444_1779259991392&quot;,&quot;md5&quot;:&quot;f98eadebb04fcc1360d92f8db69740c0&quot;}"/>
                    <s:item s:name="KSO_DOCER_RESOURCE_TRACE_INFO" s:val="{&quot;id&quot;:&quot;12934973444_1779259991392&quot;,&quot;origin&quot;:0,&quot;type&quot;:&quot;pictures&quot;,&quot;user&quot;:&quot;263235247&quot;}"/>
                  </s:tag>
                </a:ext>
              </a:extLst>
            </wp:cNvGraphicFramePr>
            <a:graphic xmlns:a="http://schemas.openxmlformats.org/drawingml/2006/main">
              <a:graphicData uri="http://schemas.openxmlformats.org/drawingml/2006/picture">
                <pic:pic xmlns:pic="http://schemas.openxmlformats.org/drawingml/2006/picture">
                  <pic:nvPicPr>
                    <pic:cNvPr id="45" name="图片 45" descr="冰清玉洁"/>
                    <pic:cNvPicPr>
                      <a:picLocks noChangeAspect="1"/>
                    </pic:cNvPicPr>
                  </pic:nvPicPr>
                  <pic:blipFill>
                    <a:blip r:embed="rId7"/>
                    <a:stretch>
                      <a:fillRect/>
                    </a:stretch>
                  </pic:blipFill>
                  <pic:spPr>
                    <a:xfrm>
                      <a:off x="0" y="0"/>
                      <a:ext cx="8778240" cy="5046980"/>
                    </a:xfrm>
                    <a:prstGeom prst="rect">
                      <a:avLst/>
                    </a:prstGeom>
                  </pic:spPr>
                </pic:pic>
              </a:graphicData>
            </a:graphic>
          </wp:anchor>
        </w:drawing>
      </w:r>
      <w:bookmarkEnd w:id="90"/>
      <w:r>
        <w:rPr>
          <w:sz w:val="24"/>
        </w:rPr>
        <mc:AlternateContent>
          <mc:Choice Requires="wps">
            <w:drawing>
              <wp:anchor distT="0" distB="0" distL="114300" distR="114300" simplePos="0" relativeHeight="251664384" behindDoc="0" locked="0" layoutInCell="1" allowOverlap="1">
                <wp:simplePos x="0" y="0"/>
                <wp:positionH relativeFrom="column">
                  <wp:posOffset>226695</wp:posOffset>
                </wp:positionH>
                <wp:positionV relativeFrom="paragraph">
                  <wp:posOffset>-529590</wp:posOffset>
                </wp:positionV>
                <wp:extent cx="4613910" cy="471805"/>
                <wp:effectExtent l="0" t="0" r="3810" b="635"/>
                <wp:wrapNone/>
                <wp:docPr id="18" name="文本框 18"/>
                <wp:cNvGraphicFramePr/>
                <a:graphic xmlns:a="http://schemas.openxmlformats.org/drawingml/2006/main">
                  <a:graphicData uri="http://schemas.microsoft.com/office/word/2010/wordprocessingShape">
                    <wps:wsp>
                      <wps:cNvSpPr txBox="1"/>
                      <wps:spPr>
                        <a:xfrm>
                          <a:off x="1927225" y="386080"/>
                          <a:ext cx="4613910" cy="47180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77E02C95">
                            <w:pPr>
                              <w:rPr>
                                <w:color w:val="4F81BD" w:themeColor="accent1"/>
                                <w:sz w:val="32"/>
                                <w:szCs w:val="32"/>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85pt;margin-top:-41.7pt;height:37.15pt;width:363.3pt;z-index:251664384;mso-width-relative:page;mso-height-relative:page;" fillcolor="#FFFFFF [3212]" filled="t" stroked="f" coordsize="21600,21600" o:gfxdata="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OHJ0iXW&#10;AAAACQEAAA8AAAAAAAAAAQAgAAAAIgAAAGRycy9kb3ducmV2LnhtbFBLAQIUABQAAAAIAIdO4kD+&#10;LLWsWwIAAJwEAAAOAAAAAAAAAAEAIAAAACUBAABkcnMvZTJvRG9jLnhtbFBLBQYAAAAABgAGAFkB&#10;AADyBQAAAAA=&#10;">
                <v:fill on="t" focussize="0,0"/>
                <v:stroke on="f" weight="0.5pt"/>
                <v:imagedata o:title=""/>
                <o:lock v:ext="edit" aspectratio="f"/>
                <v:textbox>
                  <w:txbxContent>
                    <w:p w14:paraId="77E02C95">
                      <w:pPr>
                        <w:rPr>
                          <w:color w:val="4F81BD" w:themeColor="accent1"/>
                          <w:sz w:val="32"/>
                          <w:szCs w:val="32"/>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p>
                  </w:txbxContent>
                </v:textbox>
              </v:shape>
            </w:pict>
          </mc:Fallback>
        </mc:AlternateContent>
      </w:r>
      <w:r>
        <w:drawing>
          <wp:anchor distT="0" distB="0" distL="114300" distR="114300" simplePos="0" relativeHeight="251662336" behindDoc="1" locked="0" layoutInCell="1" allowOverlap="1">
            <wp:simplePos x="0" y="0"/>
            <wp:positionH relativeFrom="column">
              <wp:posOffset>1318895</wp:posOffset>
            </wp:positionH>
            <wp:positionV relativeFrom="paragraph">
              <wp:posOffset>386715</wp:posOffset>
            </wp:positionV>
            <wp:extent cx="6564630" cy="9340850"/>
            <wp:effectExtent l="0" t="0" r="0" b="0"/>
            <wp:wrapNone/>
            <wp:docPr id="44" name="图片 1" descr="710462a7-85a11-43c7-8ee4-68af4e2e0cfb+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 descr="710462a7-85a11-43c7-8ee4-68af4e2e0cfb+拷贝"/>
                    <pic:cNvPicPr>
                      <a:picLocks noChangeAspect="1"/>
                    </pic:cNvPicPr>
                  </pic:nvPicPr>
                  <pic:blipFill>
                    <a:blip r:embed="rId8">
                      <a:alphaModFix amt="80000"/>
                    </a:blip>
                    <a:srcRect l="11123" t="17709" r="15018" b="30642"/>
                    <a:stretch>
                      <a:fillRect/>
                    </a:stretch>
                  </pic:blipFill>
                  <pic:spPr>
                    <a:xfrm>
                      <a:off x="0" y="0"/>
                      <a:ext cx="6564630" cy="9340850"/>
                    </a:xfrm>
                    <a:prstGeom prst="rect">
                      <a:avLst/>
                    </a:prstGeom>
                  </pic:spPr>
                </pic:pic>
              </a:graphicData>
            </a:graphic>
          </wp:anchor>
        </w:drawing>
      </w:r>
      <w:r>
        <w:rPr>
          <w:rFonts w:hint="eastAsia"/>
        </w:rPr>
        <w:drawing>
          <wp:anchor distT="0" distB="0" distL="114300" distR="114300" simplePos="0" relativeHeight="251659264" behindDoc="1" locked="0" layoutInCell="1" allowOverlap="1">
            <wp:simplePos x="0" y="0"/>
            <wp:positionH relativeFrom="column">
              <wp:posOffset>-707390</wp:posOffset>
            </wp:positionH>
            <wp:positionV relativeFrom="page">
              <wp:posOffset>-860425</wp:posOffset>
            </wp:positionV>
            <wp:extent cx="7808595" cy="10922000"/>
            <wp:effectExtent l="0" t="0" r="9525" b="5080"/>
            <wp:wrapNone/>
            <wp:docPr id="39" name="图片 39" descr="H:\稻壳儿相关资料\封面-非模\01.jpg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H:\稻壳儿相关资料\封面-非模\01.jpg01"/>
                    <pic:cNvPicPr>
                      <a:picLocks noChangeAspect="1"/>
                    </pic:cNvPicPr>
                  </pic:nvPicPr>
                  <pic:blipFill>
                    <a:blip r:embed="rId9"/>
                    <a:srcRect/>
                    <a:stretch>
                      <a:fillRect/>
                    </a:stretch>
                  </pic:blipFill>
                  <pic:spPr>
                    <a:xfrm rot="10800000">
                      <a:off x="0" y="0"/>
                      <a:ext cx="7808595" cy="10922000"/>
                    </a:xfrm>
                    <a:prstGeom prst="rect">
                      <a:avLst/>
                    </a:prstGeom>
                  </pic:spPr>
                </pic:pic>
              </a:graphicData>
            </a:graphic>
          </wp:anchor>
        </w:drawing>
      </w:r>
    </w:p>
    <w:p w14:paraId="223078D8">
      <w:pPr>
        <w:spacing w:after="240"/>
        <w:jc w:val="center"/>
        <w:rPr>
          <w:rFonts w:ascii="仿宋_GB2312" w:hAnsi="仿宋_GB2312" w:eastAsia="仿宋_GB2312"/>
          <w:b w:val="0"/>
          <w:bCs/>
          <w:color w:val="000000"/>
          <w:sz w:val="28"/>
        </w:rPr>
      </w:pPr>
    </w:p>
    <w:p w14:paraId="7E91FD4D">
      <w:pPr>
        <w:spacing w:after="240"/>
        <w:jc w:val="center"/>
        <w:rPr>
          <w:rFonts w:ascii="仿宋_GB2312" w:hAnsi="仿宋_GB2312" w:eastAsia="仿宋_GB2312"/>
          <w:b w:val="0"/>
          <w:bCs/>
          <w:color w:val="000000"/>
          <w:sz w:val="28"/>
        </w:rPr>
      </w:pPr>
    </w:p>
    <w:p w14:paraId="2B1D0BBD">
      <w:pPr>
        <w:spacing w:after="240"/>
        <w:jc w:val="center"/>
        <w:rPr>
          <w:rFonts w:ascii="仿宋_GB2312" w:hAnsi="仿宋_GB2312" w:eastAsia="仿宋_GB2312"/>
          <w:b w:val="0"/>
          <w:bCs/>
          <w:color w:val="000000"/>
          <w:sz w:val="28"/>
        </w:rPr>
      </w:pPr>
      <w:r>
        <w:drawing>
          <wp:anchor distT="0" distB="0" distL="114300" distR="114300" simplePos="0" relativeHeight="251660288" behindDoc="0" locked="0" layoutInCell="1" allowOverlap="1">
            <wp:simplePos x="0" y="0"/>
            <wp:positionH relativeFrom="column">
              <wp:posOffset>1334135</wp:posOffset>
            </wp:positionH>
            <wp:positionV relativeFrom="paragraph">
              <wp:posOffset>141605</wp:posOffset>
            </wp:positionV>
            <wp:extent cx="4582160" cy="4582160"/>
            <wp:effectExtent l="0" t="0" r="0" b="0"/>
            <wp:wrapNone/>
            <wp:docPr id="91069" name="image 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9" name="image 1069"/>
                    <pic:cNvPicPr>
                      <a:picLocks noChangeAspect="1"/>
                    </pic:cNvPicPr>
                  </pic:nvPicPr>
                  <pic:blipFill>
                    <a:blip r:embed="rId10" cstate="email">
                      <a:alphaModFix amt="80000"/>
                    </a:blip>
                    <a:srcRect/>
                    <a:stretch>
                      <a:fillRect/>
                    </a:stretch>
                  </pic:blipFill>
                  <pic:spPr>
                    <a:xfrm>
                      <a:off x="0" y="0"/>
                      <a:ext cx="4582160" cy="4582160"/>
                    </a:xfrm>
                    <a:prstGeom prst="rect">
                      <a:avLst/>
                    </a:prstGeom>
                  </pic:spPr>
                </pic:pic>
              </a:graphicData>
            </a:graphic>
          </wp:anchor>
        </w:drawing>
      </w:r>
    </w:p>
    <w:p w14:paraId="22262169">
      <w:pPr>
        <w:spacing w:after="240"/>
        <w:jc w:val="center"/>
        <w:rPr>
          <w:rFonts w:ascii="仿宋_GB2312" w:hAnsi="仿宋_GB2312" w:eastAsia="仿宋_GB2312"/>
          <w:b w:val="0"/>
          <w:bCs/>
          <w:color w:val="000000"/>
          <w:sz w:val="28"/>
        </w:rPr>
      </w:pPr>
    </w:p>
    <w:p w14:paraId="369D8B13">
      <w:pPr>
        <w:spacing w:after="240"/>
        <w:jc w:val="center"/>
        <w:rPr>
          <w:rFonts w:ascii="仿宋_GB2312" w:hAnsi="仿宋_GB2312" w:eastAsia="仿宋_GB2312"/>
          <w:b w:val="0"/>
          <w:bCs/>
          <w:color w:val="000000"/>
          <w:sz w:val="28"/>
        </w:rPr>
      </w:pPr>
    </w:p>
    <w:p w14:paraId="0D3E2A96">
      <w:pPr>
        <w:spacing w:after="240"/>
        <w:jc w:val="center"/>
        <w:rPr>
          <w:rFonts w:ascii="仿宋_GB2312" w:hAnsi="仿宋_GB2312" w:eastAsia="仿宋_GB2312"/>
          <w:b w:val="0"/>
          <w:bCs/>
          <w:color w:val="000000"/>
          <w:sz w:val="28"/>
        </w:rPr>
      </w:pPr>
    </w:p>
    <w:p w14:paraId="62047E79">
      <w:pPr>
        <w:spacing w:after="240"/>
        <w:jc w:val="center"/>
        <w:rPr>
          <w:rFonts w:ascii="仿宋_GB2312" w:hAnsi="仿宋_GB2312" w:eastAsia="仿宋_GB2312"/>
          <w:b w:val="0"/>
          <w:bCs/>
          <w:color w:val="000000"/>
          <w:sz w:val="28"/>
        </w:rPr>
      </w:pPr>
    </w:p>
    <w:p w14:paraId="2A83DDEC">
      <w:pPr>
        <w:spacing w:after="240"/>
        <w:jc w:val="center"/>
        <w:rPr>
          <w:rFonts w:ascii="仿宋_GB2312" w:hAnsi="仿宋_GB2312" w:eastAsia="仿宋_GB2312"/>
          <w:b w:val="0"/>
          <w:bCs/>
          <w:color w:val="000000"/>
          <w:sz w:val="28"/>
        </w:rPr>
      </w:pPr>
      <w:r>
        <w:drawing>
          <wp:anchor distT="0" distB="0" distL="114300" distR="114300" simplePos="0" relativeHeight="251661312" behindDoc="0" locked="0" layoutInCell="1" allowOverlap="1">
            <wp:simplePos x="0" y="0"/>
            <wp:positionH relativeFrom="column">
              <wp:posOffset>1315720</wp:posOffset>
            </wp:positionH>
            <wp:positionV relativeFrom="paragraph">
              <wp:posOffset>488950</wp:posOffset>
            </wp:positionV>
            <wp:extent cx="3522345" cy="3522345"/>
            <wp:effectExtent l="0" t="0" r="0" b="13335"/>
            <wp:wrapNone/>
            <wp:docPr id="91064" name="image 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4" name="image 1064"/>
                    <pic:cNvPicPr>
                      <a:picLocks noChangeAspect="1"/>
                    </pic:cNvPicPr>
                  </pic:nvPicPr>
                  <pic:blipFill>
                    <a:blip r:embed="rId11" cstate="email"/>
                    <a:srcRect/>
                    <a:stretch>
                      <a:fillRect/>
                    </a:stretch>
                  </pic:blipFill>
                  <pic:spPr>
                    <a:xfrm>
                      <a:off x="0" y="0"/>
                      <a:ext cx="3522345" cy="3522345"/>
                    </a:xfrm>
                    <a:prstGeom prst="rect">
                      <a:avLst/>
                    </a:prstGeom>
                  </pic:spPr>
                </pic:pic>
              </a:graphicData>
            </a:graphic>
          </wp:anchor>
        </w:drawing>
      </w:r>
    </w:p>
    <w:p w14:paraId="1C0B4D35">
      <w:pPr>
        <w:spacing w:after="240"/>
        <w:jc w:val="center"/>
        <w:rPr>
          <w:rFonts w:ascii="仿宋_GB2312" w:hAnsi="仿宋_GB2312" w:eastAsia="仿宋_GB2312"/>
          <w:b w:val="0"/>
          <w:bCs/>
          <w:color w:val="000000"/>
          <w:sz w:val="28"/>
        </w:rPr>
      </w:pPr>
    </w:p>
    <w:p w14:paraId="6B8F1A75">
      <w:pPr>
        <w:spacing w:after="240"/>
        <w:jc w:val="center"/>
        <w:rPr>
          <w:rFonts w:ascii="仿宋_GB2312" w:hAnsi="仿宋_GB2312" w:eastAsia="仿宋_GB2312"/>
          <w:b w:val="0"/>
          <w:bCs/>
          <w:color w:val="000000"/>
          <w:sz w:val="28"/>
        </w:rPr>
      </w:pPr>
    </w:p>
    <w:p w14:paraId="5BB56333">
      <w:pPr>
        <w:spacing w:after="240"/>
        <w:jc w:val="center"/>
        <w:rPr>
          <w:rFonts w:ascii="仿宋_GB2312" w:hAnsi="仿宋_GB2312" w:eastAsia="仿宋_GB2312"/>
          <w:b w:val="0"/>
          <w:bCs/>
          <w:color w:val="000000"/>
          <w:sz w:val="28"/>
        </w:rPr>
      </w:pPr>
    </w:p>
    <w:p w14:paraId="6E39130F">
      <w:pPr>
        <w:spacing w:after="240"/>
        <w:jc w:val="center"/>
        <w:rPr>
          <w:rFonts w:ascii="仿宋_GB2312" w:hAnsi="仿宋_GB2312" w:eastAsia="仿宋_GB2312"/>
          <w:b w:val="0"/>
          <w:bCs/>
          <w:color w:val="000000"/>
          <w:sz w:val="28"/>
        </w:rPr>
      </w:pPr>
    </w:p>
    <w:p w14:paraId="61091E3E">
      <w:pPr>
        <w:spacing w:after="240"/>
        <w:jc w:val="center"/>
        <w:rPr>
          <w:rFonts w:ascii="仿宋_GB2312" w:hAnsi="仿宋_GB2312" w:eastAsia="仿宋_GB2312"/>
          <w:b w:val="0"/>
          <w:bCs/>
          <w:color w:val="000000"/>
          <w:sz w:val="28"/>
        </w:rPr>
      </w:pPr>
    </w:p>
    <w:p w14:paraId="3C5A5D71">
      <w:pPr>
        <w:spacing w:after="240"/>
        <w:jc w:val="center"/>
        <w:rPr>
          <w:rFonts w:ascii="仿宋_GB2312" w:hAnsi="仿宋_GB2312" w:eastAsia="仿宋_GB2312"/>
          <w:b w:val="0"/>
          <w:bCs/>
          <w:color w:val="000000"/>
          <w:sz w:val="28"/>
        </w:rPr>
      </w:pPr>
    </w:p>
    <w:p w14:paraId="053A59EB">
      <w:pPr>
        <w:spacing w:after="240"/>
        <w:jc w:val="center"/>
        <w:rPr>
          <w:rFonts w:ascii="仿宋_GB2312" w:hAnsi="仿宋_GB2312" w:eastAsia="仿宋_GB2312"/>
          <w:b w:val="0"/>
          <w:bCs/>
          <w:color w:val="000000"/>
          <w:sz w:val="28"/>
        </w:rPr>
      </w:pPr>
    </w:p>
    <w:p w14:paraId="295FAEFC">
      <w:pPr>
        <w:spacing w:after="240"/>
        <w:jc w:val="center"/>
        <w:rPr>
          <w:rFonts w:ascii="仿宋_GB2312" w:hAnsi="仿宋_GB2312" w:eastAsia="仿宋_GB2312"/>
          <w:b w:val="0"/>
          <w:bCs/>
          <w:color w:val="000000"/>
          <w:sz w:val="28"/>
        </w:rPr>
      </w:pPr>
    </w:p>
    <w:p w14:paraId="1DB63E77">
      <w:pPr>
        <w:spacing w:after="240"/>
        <w:jc w:val="center"/>
        <w:outlineLvl w:val="0"/>
      </w:pPr>
      <w:bookmarkStart w:id="0" w:name="_Toc11362"/>
      <w:r>
        <w:rPr>
          <w:rFonts w:ascii="仿宋_GB2312" w:hAnsi="仿宋_GB2312" w:eastAsia="仿宋_GB2312"/>
          <w:b/>
          <w:color w:val="000000"/>
          <w:sz w:val="28"/>
        </w:rPr>
        <w:t>摘 要</w:t>
      </w:r>
      <w:bookmarkEnd w:id="0"/>
    </w:p>
    <w:p w14:paraId="4F2103EF">
      <w:pPr>
        <w:ind w:firstLine="420"/>
        <w:jc w:val="left"/>
        <w:rPr>
          <w:rFonts w:ascii="仿宋_GB2312" w:hAnsi="仿宋_GB2312" w:eastAsia="仿宋_GB2312"/>
          <w:b w:val="0"/>
          <w:color w:val="000000"/>
          <w:sz w:val="24"/>
        </w:rPr>
      </w:pPr>
      <w:r>
        <w:rPr>
          <w:rFonts w:ascii="仿宋_GB2312" w:hAnsi="仿宋_GB2312" w:eastAsia="仿宋_GB2312"/>
          <w:b w:val="0"/>
          <w:color w:val="000000"/>
          <w:sz w:val="24"/>
        </w:rPr>
        <w:t>家庭空气污染具有来源分散、位置变化快和持续时间不一等特点。厨房烹饪、装修材料释放、养宠活动和夜间卧室使用会在不同位置形成短时或持续性污染热点。固定式空气净化设备通常依赖自然循环，难以根据热点位置调整服务重点。</w:t>
      </w:r>
    </w:p>
    <w:p w14:paraId="73872076">
      <w:pPr>
        <w:ind w:firstLine="420"/>
        <w:jc w:val="left"/>
      </w:pPr>
      <w:r>
        <w:rPr>
          <w:rFonts w:ascii="仿宋_GB2312" w:hAnsi="仿宋_GB2312" w:eastAsia="仿宋_GB2312"/>
          <w:b w:val="0"/>
          <w:color w:val="000000"/>
          <w:sz w:val="24"/>
        </w:rPr>
        <w:t>“智驭新风”面向这一使用场景，将空气质量感知、空间定位、三轮全向移动、MOF 复合滤芯和状态反馈组合为“感知—判断—移动—净化—反馈”的工作闭环。系统以污染数据与空间位置的对应关系作为任务依据，在安全和低噪约束下选择目标区域与运行模式。滤材、风道、导航和交互分别承担明确功能，避免将单一材料性能直接等同于整机净化能力。</w:t>
      </w:r>
    </w:p>
    <w:p w14:paraId="21F548C7">
      <w:pPr>
        <w:spacing w:after="240"/>
        <w:rPr>
          <w:sz w:val="21"/>
          <w:szCs w:val="21"/>
        </w:rPr>
      </w:pPr>
      <w:r>
        <w:rPr>
          <w:rFonts w:ascii="仿宋_GB2312" w:hAnsi="仿宋_GB2312" w:eastAsia="仿宋_GB2312"/>
          <w:b/>
          <w:bCs/>
          <w:color w:val="000000"/>
          <w:sz w:val="21"/>
          <w:szCs w:val="21"/>
        </w:rPr>
        <w:t>关键词：</w:t>
      </w:r>
      <w:r>
        <w:rPr>
          <w:rFonts w:ascii="仿宋_GB2312" w:hAnsi="仿宋_GB2312" w:eastAsia="仿宋_GB2312"/>
          <w:b w:val="0"/>
          <w:color w:val="000000"/>
          <w:sz w:val="21"/>
          <w:szCs w:val="21"/>
        </w:rPr>
        <w:t>主动空气治理；MOF 复合滤芯；移动机器人；污染热力图；绿色智能家居</w:t>
      </w:r>
    </w:p>
    <w:p w14:paraId="4B1FB26A">
      <w:r>
        <w:rPr>
          <w:rFonts w:ascii="仿宋_GB2312" w:hAnsi="仿宋_GB2312" w:eastAsia="仿宋_GB2312"/>
          <w:b w:val="0"/>
          <w:color w:val="000000"/>
          <w:sz w:val="24"/>
        </w:rPr>
        <w:br w:type="page"/>
      </w:r>
    </w:p>
    <w:sdt>
      <w:sdtPr>
        <w:rPr>
          <w:rFonts w:ascii="宋体" w:hAnsi="宋体" w:eastAsia="宋体" w:cstheme="minorBidi"/>
          <w:color w:val="000000"/>
          <w:sz w:val="44"/>
          <w:szCs w:val="44"/>
          <w:lang w:val="en-US" w:eastAsia="en-US" w:bidi="ar-SA"/>
        </w:rPr>
        <w:id w:val="147480128"/>
        <w15:color w:val="DBDBDB"/>
        <w:docPartObj>
          <w:docPartGallery w:val="Table of Contents"/>
          <w:docPartUnique/>
        </w:docPartObj>
      </w:sdtPr>
      <w:sdtEndPr>
        <w:rPr>
          <w:rFonts w:ascii="仿宋_GB2312" w:hAnsi="仿宋_GB2312" w:eastAsia="仿宋_GB2312" w:cstheme="minorBidi"/>
          <w:color w:val="000000"/>
          <w:sz w:val="24"/>
          <w:szCs w:val="22"/>
          <w:lang w:val="en-US" w:eastAsia="en-US" w:bidi="ar-SA"/>
        </w:rPr>
      </w:sdtEndPr>
      <w:sdtContent>
        <w:p w14:paraId="70F8B17D">
          <w:pPr>
            <w:spacing w:before="0" w:beforeLines="0" w:after="0" w:afterLines="0" w:line="240" w:lineRule="auto"/>
            <w:ind w:left="0" w:leftChars="0" w:right="0" w:rightChars="0" w:firstLine="0" w:firstLineChars="0"/>
            <w:jc w:val="center"/>
            <w:rPr>
              <w:sz w:val="44"/>
              <w:szCs w:val="44"/>
            </w:rPr>
          </w:pPr>
          <w:r>
            <w:rPr>
              <w:rFonts w:ascii="宋体" w:hAnsi="宋体" w:eastAsia="宋体"/>
              <w:sz w:val="44"/>
              <w:szCs w:val="44"/>
            </w:rPr>
            <w:t>目录</w:t>
          </w:r>
        </w:p>
        <w:p w14:paraId="0E8F0206">
          <w:pPr>
            <w:pStyle w:val="27"/>
            <w:tabs>
              <w:tab w:val="right" w:leader="dot" w:pos="9972"/>
            </w:tabs>
          </w:pPr>
          <w:r>
            <w:rPr>
              <w:rFonts w:ascii="仿宋_GB2312" w:hAnsi="仿宋_GB2312" w:eastAsia="仿宋_GB2312" w:cstheme="minorBidi"/>
              <w:color w:val="000000"/>
              <w:sz w:val="24"/>
              <w:szCs w:val="22"/>
              <w:lang w:val="en-US" w:eastAsia="en-US" w:bidi="ar-SA"/>
            </w:rPr>
            <w:fldChar w:fldCharType="begin"/>
          </w:r>
          <w:r>
            <w:rPr>
              <w:rFonts w:ascii="仿宋_GB2312" w:hAnsi="仿宋_GB2312" w:eastAsia="仿宋_GB2312" w:cstheme="minorBidi"/>
              <w:color w:val="000000"/>
              <w:sz w:val="24"/>
              <w:szCs w:val="22"/>
              <w:lang w:val="en-US" w:eastAsia="en-US" w:bidi="ar-SA"/>
            </w:rPr>
            <w:instrText xml:space="preserve">TOC \o "1-3" \h \u </w:instrText>
          </w:r>
          <w:r>
            <w:rPr>
              <w:rFonts w:ascii="仿宋_GB2312" w:hAnsi="仿宋_GB2312" w:eastAsia="仿宋_GB2312" w:cstheme="minorBidi"/>
              <w:color w:val="000000"/>
              <w:sz w:val="24"/>
              <w:szCs w:val="22"/>
              <w:lang w:val="en-US" w:eastAsia="en-US" w:bidi="ar-SA"/>
            </w:rPr>
            <w:fldChar w:fldCharType="separate"/>
          </w: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_Toc25544 </w:instrText>
          </w:r>
          <w:r>
            <w:rPr>
              <w:rFonts w:ascii="仿宋_GB2312" w:hAnsi="仿宋_GB2312" w:eastAsia="仿宋_GB2312" w:cstheme="minorBidi"/>
              <w:szCs w:val="22"/>
              <w:lang w:val="en-US" w:eastAsia="en-US" w:bidi="ar-SA"/>
            </w:rPr>
            <w:fldChar w:fldCharType="separate"/>
          </w:r>
          <w:r>
            <w:rPr>
              <w:rFonts w:hint="eastAsia"/>
              <w:lang w:val="en-US" w:eastAsia="zh-CN"/>
            </w:rPr>
            <w:t xml:space="preserve">1 </w:t>
          </w:r>
          <w:r>
            <w:rPr>
              <w:rFonts w:ascii="仿宋_GB2312" w:hAnsi="仿宋_GB2312" w:eastAsia="仿宋_GB2312"/>
            </w:rPr>
            <w:t>项目背景与需求分析</w:t>
          </w:r>
          <w:r>
            <w:tab/>
          </w:r>
          <w:r>
            <w:fldChar w:fldCharType="begin"/>
          </w:r>
          <w:r>
            <w:instrText xml:space="preserve"> PAGEREF _Toc25544 \h </w:instrText>
          </w:r>
          <w:r>
            <w:fldChar w:fldCharType="separate"/>
          </w:r>
          <w:r>
            <w:t>1</w:t>
          </w:r>
          <w:r>
            <w:fldChar w:fldCharType="end"/>
          </w:r>
          <w:r>
            <w:rPr>
              <w:rFonts w:ascii="仿宋_GB2312" w:hAnsi="仿宋_GB2312" w:eastAsia="仿宋_GB2312" w:cstheme="minorBidi"/>
              <w:color w:val="000000"/>
              <w:szCs w:val="22"/>
              <w:lang w:val="en-US" w:eastAsia="en-US" w:bidi="ar-SA"/>
            </w:rPr>
            <w:fldChar w:fldCharType="end"/>
          </w:r>
        </w:p>
        <w:p w14:paraId="54F08699">
          <w:pPr>
            <w:pStyle w:val="30"/>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_Toc20760 </w:instrText>
          </w:r>
          <w:r>
            <w:rPr>
              <w:rFonts w:ascii="仿宋_GB2312" w:hAnsi="仿宋_GB2312" w:eastAsia="仿宋_GB2312" w:cstheme="minorBidi"/>
              <w:szCs w:val="22"/>
              <w:lang w:val="en-US" w:eastAsia="en-US" w:bidi="ar-SA"/>
            </w:rPr>
            <w:fldChar w:fldCharType="separate"/>
          </w:r>
          <w:r>
            <w:rPr>
              <w:rFonts w:hint="eastAsia"/>
              <w:lang w:val="en-US" w:eastAsia="zh-CN"/>
            </w:rPr>
            <w:t xml:space="preserve">1.1 </w:t>
          </w:r>
          <w:r>
            <w:rPr>
              <w:rFonts w:ascii="仿宋_GB2312" w:hAnsi="仿宋_GB2312" w:eastAsia="仿宋_GB2312"/>
            </w:rPr>
            <w:t>家庭空气污染的动态特征</w:t>
          </w:r>
          <w:r>
            <w:tab/>
          </w:r>
          <w:r>
            <w:fldChar w:fldCharType="begin"/>
          </w:r>
          <w:r>
            <w:instrText xml:space="preserve"> PAGEREF _Toc20760 \h </w:instrText>
          </w:r>
          <w:r>
            <w:fldChar w:fldCharType="separate"/>
          </w:r>
          <w:r>
            <w:t>1</w:t>
          </w:r>
          <w:r>
            <w:fldChar w:fldCharType="end"/>
          </w:r>
          <w:r>
            <w:rPr>
              <w:rFonts w:ascii="仿宋_GB2312" w:hAnsi="仿宋_GB2312" w:eastAsia="仿宋_GB2312" w:cstheme="minorBidi"/>
              <w:color w:val="000000"/>
              <w:szCs w:val="22"/>
              <w:lang w:val="en-US" w:eastAsia="en-US" w:bidi="ar-SA"/>
            </w:rPr>
            <w:fldChar w:fldCharType="end"/>
          </w:r>
        </w:p>
        <w:p w14:paraId="4B9D90A3">
          <w:pPr>
            <w:pStyle w:val="30"/>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_Toc6157 </w:instrText>
          </w:r>
          <w:r>
            <w:rPr>
              <w:rFonts w:ascii="仿宋_GB2312" w:hAnsi="仿宋_GB2312" w:eastAsia="仿宋_GB2312" w:cstheme="minorBidi"/>
              <w:szCs w:val="22"/>
              <w:lang w:val="en-US" w:eastAsia="en-US" w:bidi="ar-SA"/>
            </w:rPr>
            <w:fldChar w:fldCharType="separate"/>
          </w:r>
          <w:r>
            <w:rPr>
              <w:rFonts w:hint="eastAsia"/>
              <w:lang w:val="en-US" w:eastAsia="zh-CN"/>
            </w:rPr>
            <w:t xml:space="preserve">1.2 </w:t>
          </w:r>
          <w:r>
            <w:t>现有空气净化方案的局限</w:t>
          </w:r>
          <w:r>
            <w:tab/>
          </w:r>
          <w:r>
            <w:fldChar w:fldCharType="begin"/>
          </w:r>
          <w:r>
            <w:instrText xml:space="preserve"> PAGEREF _Toc6157 \h </w:instrText>
          </w:r>
          <w:r>
            <w:fldChar w:fldCharType="separate"/>
          </w:r>
          <w:r>
            <w:t>1</w:t>
          </w:r>
          <w:r>
            <w:fldChar w:fldCharType="end"/>
          </w:r>
          <w:r>
            <w:rPr>
              <w:rFonts w:ascii="仿宋_GB2312" w:hAnsi="仿宋_GB2312" w:eastAsia="仿宋_GB2312" w:cstheme="minorBidi"/>
              <w:color w:val="000000"/>
              <w:szCs w:val="22"/>
              <w:lang w:val="en-US" w:eastAsia="en-US" w:bidi="ar-SA"/>
            </w:rPr>
            <w:fldChar w:fldCharType="end"/>
          </w:r>
        </w:p>
        <w:p w14:paraId="4E275386">
          <w:pPr>
            <w:pStyle w:val="30"/>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_Toc31280 </w:instrText>
          </w:r>
          <w:r>
            <w:rPr>
              <w:rFonts w:ascii="仿宋_GB2312" w:hAnsi="仿宋_GB2312" w:eastAsia="仿宋_GB2312" w:cstheme="minorBidi"/>
              <w:szCs w:val="22"/>
              <w:lang w:val="en-US" w:eastAsia="en-US" w:bidi="ar-SA"/>
            </w:rPr>
            <w:fldChar w:fldCharType="separate"/>
          </w:r>
          <w:r>
            <w:rPr>
              <w:rFonts w:hint="eastAsia"/>
              <w:lang w:val="en-US" w:eastAsia="zh-CN"/>
            </w:rPr>
            <w:t xml:space="preserve">1.3 </w:t>
          </w:r>
          <w:r>
            <w:rPr>
              <w:rFonts w:ascii="仿宋_GB2312" w:hAnsi="仿宋_GB2312" w:eastAsia="仿宋_GB2312"/>
            </w:rPr>
            <w:t>项目目标、适用对象与边界</w:t>
          </w:r>
          <w:r>
            <w:tab/>
          </w:r>
          <w:r>
            <w:fldChar w:fldCharType="begin"/>
          </w:r>
          <w:r>
            <w:instrText xml:space="preserve"> PAGEREF _Toc31280 \h </w:instrText>
          </w:r>
          <w:r>
            <w:fldChar w:fldCharType="separate"/>
          </w:r>
          <w:r>
            <w:t>2</w:t>
          </w:r>
          <w:r>
            <w:fldChar w:fldCharType="end"/>
          </w:r>
          <w:r>
            <w:rPr>
              <w:rFonts w:ascii="仿宋_GB2312" w:hAnsi="仿宋_GB2312" w:eastAsia="仿宋_GB2312" w:cstheme="minorBidi"/>
              <w:color w:val="000000"/>
              <w:szCs w:val="22"/>
              <w:lang w:val="en-US" w:eastAsia="en-US" w:bidi="ar-SA"/>
            </w:rPr>
            <w:fldChar w:fldCharType="end"/>
          </w:r>
        </w:p>
        <w:p w14:paraId="03FFC7A9">
          <w:pPr>
            <w:pStyle w:val="27"/>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_Toc17333 </w:instrText>
          </w:r>
          <w:r>
            <w:rPr>
              <w:rFonts w:ascii="仿宋_GB2312" w:hAnsi="仿宋_GB2312" w:eastAsia="仿宋_GB2312" w:cstheme="minorBidi"/>
              <w:szCs w:val="22"/>
              <w:lang w:val="en-US" w:eastAsia="en-US" w:bidi="ar-SA"/>
            </w:rPr>
            <w:fldChar w:fldCharType="separate"/>
          </w:r>
          <w:r>
            <w:rPr>
              <w:rFonts w:hint="eastAsia"/>
              <w:lang w:val="en-US" w:eastAsia="zh-CN"/>
            </w:rPr>
            <w:t xml:space="preserve">2 </w:t>
          </w:r>
          <w:r>
            <w:t>设计构思与总体方案</w:t>
          </w:r>
          <w:r>
            <w:tab/>
          </w:r>
          <w:r>
            <w:fldChar w:fldCharType="begin"/>
          </w:r>
          <w:r>
            <w:instrText xml:space="preserve"> PAGEREF _Toc17333 \h </w:instrText>
          </w:r>
          <w:r>
            <w:fldChar w:fldCharType="separate"/>
          </w:r>
          <w:r>
            <w:t>2</w:t>
          </w:r>
          <w:r>
            <w:fldChar w:fldCharType="end"/>
          </w:r>
          <w:r>
            <w:rPr>
              <w:rFonts w:ascii="仿宋_GB2312" w:hAnsi="仿宋_GB2312" w:eastAsia="仿宋_GB2312" w:cstheme="minorBidi"/>
              <w:color w:val="000000"/>
              <w:szCs w:val="22"/>
              <w:lang w:val="en-US" w:eastAsia="en-US" w:bidi="ar-SA"/>
            </w:rPr>
            <w:fldChar w:fldCharType="end"/>
          </w:r>
        </w:p>
        <w:p w14:paraId="1CC1C6D6">
          <w:pPr>
            <w:pStyle w:val="30"/>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_Toc6282 </w:instrText>
          </w:r>
          <w:r>
            <w:rPr>
              <w:rFonts w:ascii="仿宋_GB2312" w:hAnsi="仿宋_GB2312" w:eastAsia="仿宋_GB2312" w:cstheme="minorBidi"/>
              <w:szCs w:val="22"/>
              <w:lang w:val="en-US" w:eastAsia="en-US" w:bidi="ar-SA"/>
            </w:rPr>
            <w:fldChar w:fldCharType="separate"/>
          </w:r>
          <w:r>
            <w:rPr>
              <w:rFonts w:hint="eastAsia"/>
              <w:lang w:val="en-US" w:eastAsia="zh-CN"/>
            </w:rPr>
            <w:t xml:space="preserve">2.1 </w:t>
          </w:r>
          <w:r>
            <w:rPr>
              <w:rFonts w:ascii="仿宋_GB2312" w:hAnsi="仿宋_GB2312" w:eastAsia="仿宋_GB2312"/>
            </w:rPr>
            <w:t>面向动态污染的移动净化策略</w:t>
          </w:r>
          <w:r>
            <w:tab/>
          </w:r>
          <w:r>
            <w:fldChar w:fldCharType="begin"/>
          </w:r>
          <w:r>
            <w:instrText xml:space="preserve"> PAGEREF _Toc6282 \h </w:instrText>
          </w:r>
          <w:r>
            <w:fldChar w:fldCharType="separate"/>
          </w:r>
          <w:r>
            <w:t>2</w:t>
          </w:r>
          <w:r>
            <w:fldChar w:fldCharType="end"/>
          </w:r>
          <w:r>
            <w:rPr>
              <w:rFonts w:ascii="仿宋_GB2312" w:hAnsi="仿宋_GB2312" w:eastAsia="仿宋_GB2312" w:cstheme="minorBidi"/>
              <w:color w:val="000000"/>
              <w:szCs w:val="22"/>
              <w:lang w:val="en-US" w:eastAsia="en-US" w:bidi="ar-SA"/>
            </w:rPr>
            <w:fldChar w:fldCharType="end"/>
          </w:r>
        </w:p>
        <w:p w14:paraId="46882F49">
          <w:pPr>
            <w:pStyle w:val="30"/>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_Toc16973 </w:instrText>
          </w:r>
          <w:r>
            <w:rPr>
              <w:rFonts w:ascii="仿宋_GB2312" w:hAnsi="仿宋_GB2312" w:eastAsia="仿宋_GB2312" w:cstheme="minorBidi"/>
              <w:szCs w:val="22"/>
              <w:lang w:val="en-US" w:eastAsia="en-US" w:bidi="ar-SA"/>
            </w:rPr>
            <w:fldChar w:fldCharType="separate"/>
          </w:r>
          <w:r>
            <w:rPr>
              <w:rFonts w:hint="eastAsia"/>
              <w:lang w:val="en-US" w:eastAsia="zh-CN"/>
            </w:rPr>
            <w:t xml:space="preserve">2.2 </w:t>
          </w:r>
          <w:r>
            <w:rPr>
              <w:rFonts w:ascii="仿宋_GB2312" w:hAnsi="仿宋_GB2312" w:eastAsia="仿宋_GB2312"/>
            </w:rPr>
            <w:t>感知—判断—移动—净化—反馈工作闭环</w:t>
          </w:r>
          <w:r>
            <w:tab/>
          </w:r>
          <w:r>
            <w:fldChar w:fldCharType="begin"/>
          </w:r>
          <w:r>
            <w:instrText xml:space="preserve"> PAGEREF _Toc16973 \h </w:instrText>
          </w:r>
          <w:r>
            <w:fldChar w:fldCharType="separate"/>
          </w:r>
          <w:r>
            <w:t>2</w:t>
          </w:r>
          <w:r>
            <w:fldChar w:fldCharType="end"/>
          </w:r>
          <w:r>
            <w:rPr>
              <w:rFonts w:ascii="仿宋_GB2312" w:hAnsi="仿宋_GB2312" w:eastAsia="仿宋_GB2312" w:cstheme="minorBidi"/>
              <w:color w:val="000000"/>
              <w:szCs w:val="22"/>
              <w:lang w:val="en-US" w:eastAsia="en-US" w:bidi="ar-SA"/>
            </w:rPr>
            <w:fldChar w:fldCharType="end"/>
          </w:r>
        </w:p>
        <w:p w14:paraId="1A696632">
          <w:pPr>
            <w:pStyle w:val="30"/>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_Toc22253 </w:instrText>
          </w:r>
          <w:r>
            <w:rPr>
              <w:rFonts w:ascii="仿宋_GB2312" w:hAnsi="仿宋_GB2312" w:eastAsia="仿宋_GB2312" w:cstheme="minorBidi"/>
              <w:szCs w:val="22"/>
              <w:lang w:val="en-US" w:eastAsia="en-US" w:bidi="ar-SA"/>
            </w:rPr>
            <w:fldChar w:fldCharType="separate"/>
          </w:r>
          <w:r>
            <w:rPr>
              <w:rFonts w:hint="eastAsia"/>
              <w:lang w:val="en-US" w:eastAsia="zh-CN"/>
            </w:rPr>
            <w:t>2.3</w:t>
          </w:r>
          <w:r>
            <w:rPr>
              <w:rFonts w:ascii="仿宋_GB2312" w:hAnsi="仿宋_GB2312" w:eastAsia="仿宋_GB2312"/>
            </w:rPr>
            <w:t>整机总体结构与模块分工</w:t>
          </w:r>
          <w:r>
            <w:tab/>
          </w:r>
          <w:r>
            <w:fldChar w:fldCharType="begin"/>
          </w:r>
          <w:r>
            <w:instrText xml:space="preserve"> PAGEREF _Toc22253 \h </w:instrText>
          </w:r>
          <w:r>
            <w:fldChar w:fldCharType="separate"/>
          </w:r>
          <w:r>
            <w:t>3</w:t>
          </w:r>
          <w:r>
            <w:fldChar w:fldCharType="end"/>
          </w:r>
          <w:r>
            <w:rPr>
              <w:rFonts w:ascii="仿宋_GB2312" w:hAnsi="仿宋_GB2312" w:eastAsia="仿宋_GB2312" w:cstheme="minorBidi"/>
              <w:color w:val="000000"/>
              <w:szCs w:val="22"/>
              <w:lang w:val="en-US" w:eastAsia="en-US" w:bidi="ar-SA"/>
            </w:rPr>
            <w:fldChar w:fldCharType="end"/>
          </w:r>
        </w:p>
        <w:p w14:paraId="069E6844">
          <w:pPr>
            <w:pStyle w:val="27"/>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_Toc840 </w:instrText>
          </w:r>
          <w:r>
            <w:rPr>
              <w:rFonts w:ascii="仿宋_GB2312" w:hAnsi="仿宋_GB2312" w:eastAsia="仿宋_GB2312" w:cstheme="minorBidi"/>
              <w:szCs w:val="22"/>
              <w:lang w:val="en-US" w:eastAsia="en-US" w:bidi="ar-SA"/>
            </w:rPr>
            <w:fldChar w:fldCharType="separate"/>
          </w:r>
          <w:r>
            <w:rPr>
              <w:rFonts w:hint="eastAsia"/>
              <w:lang w:val="en-US" w:eastAsia="zh-CN"/>
            </w:rPr>
            <w:t xml:space="preserve">3 </w:t>
          </w:r>
          <w:r>
            <w:t>关键技术与工程设计</w:t>
          </w:r>
          <w:r>
            <w:tab/>
          </w:r>
          <w:r>
            <w:fldChar w:fldCharType="begin"/>
          </w:r>
          <w:r>
            <w:instrText xml:space="preserve"> PAGEREF _Toc840 \h </w:instrText>
          </w:r>
          <w:r>
            <w:fldChar w:fldCharType="separate"/>
          </w:r>
          <w:r>
            <w:t>5</w:t>
          </w:r>
          <w:r>
            <w:fldChar w:fldCharType="end"/>
          </w:r>
          <w:r>
            <w:rPr>
              <w:rFonts w:ascii="仿宋_GB2312" w:hAnsi="仿宋_GB2312" w:eastAsia="仿宋_GB2312" w:cstheme="minorBidi"/>
              <w:color w:val="000000"/>
              <w:szCs w:val="22"/>
              <w:lang w:val="en-US" w:eastAsia="en-US" w:bidi="ar-SA"/>
            </w:rPr>
            <w:fldChar w:fldCharType="end"/>
          </w:r>
        </w:p>
        <w:p w14:paraId="3E9CDC63">
          <w:pPr>
            <w:pStyle w:val="30"/>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_Toc8120 </w:instrText>
          </w:r>
          <w:r>
            <w:rPr>
              <w:rFonts w:ascii="仿宋_GB2312" w:hAnsi="仿宋_GB2312" w:eastAsia="仿宋_GB2312" w:cstheme="minorBidi"/>
              <w:szCs w:val="22"/>
              <w:lang w:val="en-US" w:eastAsia="en-US" w:bidi="ar-SA"/>
            </w:rPr>
            <w:fldChar w:fldCharType="separate"/>
          </w:r>
          <w:r>
            <w:rPr>
              <w:rFonts w:hint="eastAsia"/>
              <w:lang w:val="en-US" w:eastAsia="zh-CN"/>
            </w:rPr>
            <w:t xml:space="preserve">3.1 </w:t>
          </w:r>
          <w:r>
            <w:rPr>
              <w:rFonts w:ascii="仿宋_GB2312" w:hAnsi="仿宋_GB2312" w:eastAsia="仿宋_GB2312"/>
            </w:rPr>
            <w:t>MOF 复合滤芯与净化机理</w:t>
          </w:r>
          <w:r>
            <w:tab/>
          </w:r>
          <w:r>
            <w:fldChar w:fldCharType="begin"/>
          </w:r>
          <w:r>
            <w:instrText xml:space="preserve"> PAGEREF _Toc8120 \h </w:instrText>
          </w:r>
          <w:r>
            <w:fldChar w:fldCharType="separate"/>
          </w:r>
          <w:r>
            <w:t>5</w:t>
          </w:r>
          <w:r>
            <w:fldChar w:fldCharType="end"/>
          </w:r>
          <w:r>
            <w:rPr>
              <w:rFonts w:ascii="仿宋_GB2312" w:hAnsi="仿宋_GB2312" w:eastAsia="仿宋_GB2312" w:cstheme="minorBidi"/>
              <w:color w:val="000000"/>
              <w:szCs w:val="22"/>
              <w:lang w:val="en-US" w:eastAsia="en-US" w:bidi="ar-SA"/>
            </w:rPr>
            <w:fldChar w:fldCharType="end"/>
          </w:r>
        </w:p>
        <w:p w14:paraId="08192D90">
          <w:pPr>
            <w:pStyle w:val="24"/>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_Toc1363 </w:instrText>
          </w:r>
          <w:r>
            <w:rPr>
              <w:rFonts w:ascii="仿宋_GB2312" w:hAnsi="仿宋_GB2312" w:eastAsia="仿宋_GB2312" w:cstheme="minorBidi"/>
              <w:szCs w:val="22"/>
              <w:lang w:val="en-US" w:eastAsia="en-US" w:bidi="ar-SA"/>
            </w:rPr>
            <w:fldChar w:fldCharType="separate"/>
          </w:r>
          <w:r>
            <w:rPr>
              <w:rFonts w:hint="eastAsia"/>
              <w:lang w:val="en-US" w:eastAsia="zh-CN"/>
            </w:rPr>
            <w:t xml:space="preserve">3.1.1 </w:t>
          </w:r>
          <w:r>
            <w:rPr>
              <w:rFonts w:ascii="仿宋_GB2312" w:hAnsi="仿宋_GB2312" w:eastAsia="仿宋_GB2312"/>
            </w:rPr>
            <w:t>分层滤材结构与功能</w:t>
          </w:r>
          <w:r>
            <w:tab/>
          </w:r>
          <w:r>
            <w:fldChar w:fldCharType="begin"/>
          </w:r>
          <w:r>
            <w:instrText xml:space="preserve"> PAGEREF _Toc1363 \h </w:instrText>
          </w:r>
          <w:r>
            <w:fldChar w:fldCharType="separate"/>
          </w:r>
          <w:r>
            <w:t>5</w:t>
          </w:r>
          <w:r>
            <w:fldChar w:fldCharType="end"/>
          </w:r>
          <w:r>
            <w:rPr>
              <w:rFonts w:ascii="仿宋_GB2312" w:hAnsi="仿宋_GB2312" w:eastAsia="仿宋_GB2312" w:cstheme="minorBidi"/>
              <w:color w:val="000000"/>
              <w:szCs w:val="22"/>
              <w:lang w:val="en-US" w:eastAsia="en-US" w:bidi="ar-SA"/>
            </w:rPr>
            <w:fldChar w:fldCharType="end"/>
          </w:r>
        </w:p>
        <w:p w14:paraId="4E8672B3">
          <w:pPr>
            <w:pStyle w:val="24"/>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_Toc1388 </w:instrText>
          </w:r>
          <w:r>
            <w:rPr>
              <w:rFonts w:ascii="仿宋_GB2312" w:hAnsi="仿宋_GB2312" w:eastAsia="仿宋_GB2312" w:cstheme="minorBidi"/>
              <w:szCs w:val="22"/>
              <w:lang w:val="en-US" w:eastAsia="en-US" w:bidi="ar-SA"/>
            </w:rPr>
            <w:fldChar w:fldCharType="separate"/>
          </w:r>
          <w:r>
            <w:rPr>
              <w:rFonts w:hint="eastAsia"/>
              <w:lang w:val="en-US" w:eastAsia="zh-CN"/>
            </w:rPr>
            <w:t xml:space="preserve">3.1.2 </w:t>
          </w:r>
          <w:r>
            <w:rPr>
              <w:rFonts w:ascii="仿宋_GB2312" w:hAnsi="仿宋_GB2312" w:eastAsia="仿宋_GB2312"/>
            </w:rPr>
            <w:t>低位进风、顶部出风与自清洁设计</w:t>
          </w:r>
          <w:r>
            <w:tab/>
          </w:r>
          <w:r>
            <w:fldChar w:fldCharType="begin"/>
          </w:r>
          <w:r>
            <w:instrText xml:space="preserve"> PAGEREF _Toc1388 \h </w:instrText>
          </w:r>
          <w:r>
            <w:fldChar w:fldCharType="separate"/>
          </w:r>
          <w:r>
            <w:t>5</w:t>
          </w:r>
          <w:r>
            <w:fldChar w:fldCharType="end"/>
          </w:r>
          <w:r>
            <w:rPr>
              <w:rFonts w:ascii="仿宋_GB2312" w:hAnsi="仿宋_GB2312" w:eastAsia="仿宋_GB2312" w:cstheme="minorBidi"/>
              <w:color w:val="000000"/>
              <w:szCs w:val="22"/>
              <w:lang w:val="en-US" w:eastAsia="en-US" w:bidi="ar-SA"/>
            </w:rPr>
            <w:fldChar w:fldCharType="end"/>
          </w:r>
        </w:p>
        <w:p w14:paraId="54DDAD84">
          <w:pPr>
            <w:pStyle w:val="30"/>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_Toc3410 </w:instrText>
          </w:r>
          <w:r>
            <w:rPr>
              <w:rFonts w:ascii="仿宋_GB2312" w:hAnsi="仿宋_GB2312" w:eastAsia="仿宋_GB2312" w:cstheme="minorBidi"/>
              <w:szCs w:val="22"/>
              <w:lang w:val="en-US" w:eastAsia="en-US" w:bidi="ar-SA"/>
            </w:rPr>
            <w:fldChar w:fldCharType="separate"/>
          </w:r>
          <w:r>
            <w:rPr>
              <w:rFonts w:hint="eastAsia"/>
              <w:lang w:val="en-US" w:eastAsia="zh-CN"/>
            </w:rPr>
            <w:t xml:space="preserve">3.2 </w:t>
          </w:r>
          <w:r>
            <w:t>移动底盘与自主导航</w:t>
          </w:r>
          <w:r>
            <w:tab/>
          </w:r>
          <w:r>
            <w:fldChar w:fldCharType="begin"/>
          </w:r>
          <w:r>
            <w:instrText xml:space="preserve"> PAGEREF _Toc3410 \h </w:instrText>
          </w:r>
          <w:r>
            <w:fldChar w:fldCharType="separate"/>
          </w:r>
          <w:r>
            <w:t>7</w:t>
          </w:r>
          <w:r>
            <w:fldChar w:fldCharType="end"/>
          </w:r>
          <w:r>
            <w:rPr>
              <w:rFonts w:ascii="仿宋_GB2312" w:hAnsi="仿宋_GB2312" w:eastAsia="仿宋_GB2312" w:cstheme="minorBidi"/>
              <w:color w:val="000000"/>
              <w:szCs w:val="22"/>
              <w:lang w:val="en-US" w:eastAsia="en-US" w:bidi="ar-SA"/>
            </w:rPr>
            <w:fldChar w:fldCharType="end"/>
          </w:r>
        </w:p>
        <w:p w14:paraId="4E90A974">
          <w:pPr>
            <w:pStyle w:val="24"/>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_Toc19515 </w:instrText>
          </w:r>
          <w:r>
            <w:rPr>
              <w:rFonts w:ascii="仿宋_GB2312" w:hAnsi="仿宋_GB2312" w:eastAsia="仿宋_GB2312" w:cstheme="minorBidi"/>
              <w:szCs w:val="22"/>
              <w:lang w:val="en-US" w:eastAsia="en-US" w:bidi="ar-SA"/>
            </w:rPr>
            <w:fldChar w:fldCharType="separate"/>
          </w:r>
          <w:r>
            <w:rPr>
              <w:rFonts w:hint="eastAsia"/>
              <w:lang w:val="en-US" w:eastAsia="zh-CN"/>
            </w:rPr>
            <w:t>3.2.1</w:t>
          </w:r>
          <w:r>
            <w:t>三轮全向底盘结构</w:t>
          </w:r>
          <w:r>
            <w:tab/>
          </w:r>
          <w:r>
            <w:fldChar w:fldCharType="begin"/>
          </w:r>
          <w:r>
            <w:instrText xml:space="preserve"> PAGEREF _Toc19515 \h </w:instrText>
          </w:r>
          <w:r>
            <w:fldChar w:fldCharType="separate"/>
          </w:r>
          <w:r>
            <w:t>7</w:t>
          </w:r>
          <w:r>
            <w:fldChar w:fldCharType="end"/>
          </w:r>
          <w:r>
            <w:rPr>
              <w:rFonts w:ascii="仿宋_GB2312" w:hAnsi="仿宋_GB2312" w:eastAsia="仿宋_GB2312" w:cstheme="minorBidi"/>
              <w:color w:val="000000"/>
              <w:szCs w:val="22"/>
              <w:lang w:val="en-US" w:eastAsia="en-US" w:bidi="ar-SA"/>
            </w:rPr>
            <w:fldChar w:fldCharType="end"/>
          </w:r>
        </w:p>
        <w:p w14:paraId="7D4F1B3A">
          <w:pPr>
            <w:pStyle w:val="24"/>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_Toc32291 </w:instrText>
          </w:r>
          <w:r>
            <w:rPr>
              <w:rFonts w:ascii="仿宋_GB2312" w:hAnsi="仿宋_GB2312" w:eastAsia="仿宋_GB2312" w:cstheme="minorBidi"/>
              <w:szCs w:val="22"/>
              <w:lang w:val="en-US" w:eastAsia="en-US" w:bidi="ar-SA"/>
            </w:rPr>
            <w:fldChar w:fldCharType="separate"/>
          </w:r>
          <w:r>
            <w:rPr>
              <w:rFonts w:hint="eastAsia"/>
              <w:lang w:val="en-US" w:eastAsia="zh-CN"/>
            </w:rPr>
            <w:t xml:space="preserve">3.2.2 </w:t>
          </w:r>
          <w:r>
            <w:rPr>
              <w:rFonts w:ascii="仿宋_GB2312" w:hAnsi="仿宋_GB2312" w:eastAsia="仿宋_GB2312"/>
            </w:rPr>
            <w:t>定位、路径规划与避障</w:t>
          </w:r>
          <w:r>
            <w:tab/>
          </w:r>
          <w:r>
            <w:fldChar w:fldCharType="begin"/>
          </w:r>
          <w:r>
            <w:instrText xml:space="preserve"> PAGEREF _Toc32291 \h </w:instrText>
          </w:r>
          <w:r>
            <w:fldChar w:fldCharType="separate"/>
          </w:r>
          <w:r>
            <w:t>7</w:t>
          </w:r>
          <w:r>
            <w:fldChar w:fldCharType="end"/>
          </w:r>
          <w:r>
            <w:rPr>
              <w:rFonts w:ascii="仿宋_GB2312" w:hAnsi="仿宋_GB2312" w:eastAsia="仿宋_GB2312" w:cstheme="minorBidi"/>
              <w:color w:val="000000"/>
              <w:szCs w:val="22"/>
              <w:lang w:val="en-US" w:eastAsia="en-US" w:bidi="ar-SA"/>
            </w:rPr>
            <w:fldChar w:fldCharType="end"/>
          </w:r>
        </w:p>
        <w:p w14:paraId="4E0EA66D">
          <w:pPr>
            <w:pStyle w:val="30"/>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_Toc1330 </w:instrText>
          </w:r>
          <w:r>
            <w:rPr>
              <w:rFonts w:ascii="仿宋_GB2312" w:hAnsi="仿宋_GB2312" w:eastAsia="仿宋_GB2312" w:cstheme="minorBidi"/>
              <w:szCs w:val="22"/>
              <w:lang w:val="en-US" w:eastAsia="en-US" w:bidi="ar-SA"/>
            </w:rPr>
            <w:fldChar w:fldCharType="separate"/>
          </w:r>
          <w:r>
            <w:rPr>
              <w:rFonts w:hint="eastAsia"/>
              <w:lang w:val="en-US" w:eastAsia="zh-CN"/>
            </w:rPr>
            <w:t xml:space="preserve">3.3 </w:t>
          </w:r>
          <w:r>
            <w:rPr>
              <w:rFonts w:ascii="仿宋_GB2312" w:hAnsi="仿宋_GB2312" w:eastAsia="仿宋_GB2312"/>
            </w:rPr>
            <w:t>环境感知与任务决策</w:t>
          </w:r>
          <w:r>
            <w:tab/>
          </w:r>
          <w:r>
            <w:fldChar w:fldCharType="begin"/>
          </w:r>
          <w:r>
            <w:instrText xml:space="preserve"> PAGEREF _Toc1330 \h </w:instrText>
          </w:r>
          <w:r>
            <w:fldChar w:fldCharType="separate"/>
          </w:r>
          <w:r>
            <w:t>8</w:t>
          </w:r>
          <w:r>
            <w:fldChar w:fldCharType="end"/>
          </w:r>
          <w:r>
            <w:rPr>
              <w:rFonts w:ascii="仿宋_GB2312" w:hAnsi="仿宋_GB2312" w:eastAsia="仿宋_GB2312" w:cstheme="minorBidi"/>
              <w:color w:val="000000"/>
              <w:szCs w:val="22"/>
              <w:lang w:val="en-US" w:eastAsia="en-US" w:bidi="ar-SA"/>
            </w:rPr>
            <w:fldChar w:fldCharType="end"/>
          </w:r>
        </w:p>
        <w:p w14:paraId="08079FDD">
          <w:pPr>
            <w:pStyle w:val="24"/>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_Toc8092 </w:instrText>
          </w:r>
          <w:r>
            <w:rPr>
              <w:rFonts w:ascii="仿宋_GB2312" w:hAnsi="仿宋_GB2312" w:eastAsia="仿宋_GB2312" w:cstheme="minorBidi"/>
              <w:szCs w:val="22"/>
              <w:lang w:val="en-US" w:eastAsia="en-US" w:bidi="ar-SA"/>
            </w:rPr>
            <w:fldChar w:fldCharType="separate"/>
          </w:r>
          <w:r>
            <w:rPr>
              <w:rFonts w:hint="eastAsia"/>
              <w:lang w:val="en-US" w:eastAsia="zh-CN"/>
            </w:rPr>
            <w:t xml:space="preserve">3.3.1 </w:t>
          </w:r>
          <w:r>
            <w:rPr>
              <w:rFonts w:ascii="仿宋_GB2312" w:hAnsi="仿宋_GB2312" w:eastAsia="仿宋_GB2312"/>
            </w:rPr>
            <w:t>多参数空气质量感知</w:t>
          </w:r>
          <w:r>
            <w:tab/>
          </w:r>
          <w:r>
            <w:fldChar w:fldCharType="begin"/>
          </w:r>
          <w:r>
            <w:instrText xml:space="preserve"> PAGEREF _Toc8092 \h </w:instrText>
          </w:r>
          <w:r>
            <w:fldChar w:fldCharType="separate"/>
          </w:r>
          <w:r>
            <w:t>8</w:t>
          </w:r>
          <w:r>
            <w:fldChar w:fldCharType="end"/>
          </w:r>
          <w:r>
            <w:rPr>
              <w:rFonts w:ascii="仿宋_GB2312" w:hAnsi="仿宋_GB2312" w:eastAsia="仿宋_GB2312" w:cstheme="minorBidi"/>
              <w:color w:val="000000"/>
              <w:szCs w:val="22"/>
              <w:lang w:val="en-US" w:eastAsia="en-US" w:bidi="ar-SA"/>
            </w:rPr>
            <w:fldChar w:fldCharType="end"/>
          </w:r>
        </w:p>
        <w:p w14:paraId="3D3AA125">
          <w:pPr>
            <w:pStyle w:val="24"/>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_Toc28620 </w:instrText>
          </w:r>
          <w:r>
            <w:rPr>
              <w:rFonts w:ascii="仿宋_GB2312" w:hAnsi="仿宋_GB2312" w:eastAsia="仿宋_GB2312" w:cstheme="minorBidi"/>
              <w:szCs w:val="22"/>
              <w:lang w:val="en-US" w:eastAsia="en-US" w:bidi="ar-SA"/>
            </w:rPr>
            <w:fldChar w:fldCharType="separate"/>
          </w:r>
          <w:r>
            <w:rPr>
              <w:rFonts w:hint="eastAsia"/>
              <w:lang w:val="en-US" w:eastAsia="zh-CN"/>
            </w:rPr>
            <w:t xml:space="preserve">3.3.2 </w:t>
          </w:r>
          <w:r>
            <w:rPr>
              <w:rFonts w:ascii="仿宋_GB2312" w:hAnsi="仿宋_GB2312" w:eastAsia="仿宋_GB2312"/>
            </w:rPr>
            <w:t>污染热力图与任务优先级</w:t>
          </w:r>
          <w:r>
            <w:tab/>
          </w:r>
          <w:r>
            <w:fldChar w:fldCharType="begin"/>
          </w:r>
          <w:r>
            <w:instrText xml:space="preserve"> PAGEREF _Toc28620 \h </w:instrText>
          </w:r>
          <w:r>
            <w:fldChar w:fldCharType="separate"/>
          </w:r>
          <w:r>
            <w:t>8</w:t>
          </w:r>
          <w:r>
            <w:fldChar w:fldCharType="end"/>
          </w:r>
          <w:r>
            <w:rPr>
              <w:rFonts w:ascii="仿宋_GB2312" w:hAnsi="仿宋_GB2312" w:eastAsia="仿宋_GB2312" w:cstheme="minorBidi"/>
              <w:color w:val="000000"/>
              <w:szCs w:val="22"/>
              <w:lang w:val="en-US" w:eastAsia="en-US" w:bidi="ar-SA"/>
            </w:rPr>
            <w:fldChar w:fldCharType="end"/>
          </w:r>
        </w:p>
        <w:p w14:paraId="1CC4EBB6">
          <w:pPr>
            <w:pStyle w:val="30"/>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_Toc22114 </w:instrText>
          </w:r>
          <w:r>
            <w:rPr>
              <w:rFonts w:ascii="仿宋_GB2312" w:hAnsi="仿宋_GB2312" w:eastAsia="仿宋_GB2312" w:cstheme="minorBidi"/>
              <w:szCs w:val="22"/>
              <w:lang w:val="en-US" w:eastAsia="en-US" w:bidi="ar-SA"/>
            </w:rPr>
            <w:fldChar w:fldCharType="separate"/>
          </w:r>
          <w:r>
            <w:rPr>
              <w:rFonts w:hint="eastAsia"/>
              <w:lang w:val="en-US" w:eastAsia="zh-CN"/>
            </w:rPr>
            <w:t xml:space="preserve">3.4 </w:t>
          </w:r>
          <w:r>
            <w:rPr>
              <w:rFonts w:ascii="仿宋_GB2312" w:hAnsi="仿宋_GB2312" w:eastAsia="仿宋_GB2312"/>
            </w:rPr>
            <w:t>控制架构与安全策略</w:t>
          </w:r>
          <w:r>
            <w:tab/>
          </w:r>
          <w:r>
            <w:fldChar w:fldCharType="begin"/>
          </w:r>
          <w:r>
            <w:instrText xml:space="preserve"> PAGEREF _Toc22114 \h </w:instrText>
          </w:r>
          <w:r>
            <w:fldChar w:fldCharType="separate"/>
          </w:r>
          <w:r>
            <w:t>8</w:t>
          </w:r>
          <w:r>
            <w:fldChar w:fldCharType="end"/>
          </w:r>
          <w:r>
            <w:rPr>
              <w:rFonts w:ascii="仿宋_GB2312" w:hAnsi="仿宋_GB2312" w:eastAsia="仿宋_GB2312" w:cstheme="minorBidi"/>
              <w:color w:val="000000"/>
              <w:szCs w:val="22"/>
              <w:lang w:val="en-US" w:eastAsia="en-US" w:bidi="ar-SA"/>
            </w:rPr>
            <w:fldChar w:fldCharType="end"/>
          </w:r>
        </w:p>
        <w:p w14:paraId="07113288">
          <w:pPr>
            <w:pStyle w:val="27"/>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_Toc15586 </w:instrText>
          </w:r>
          <w:r>
            <w:rPr>
              <w:rFonts w:ascii="仿宋_GB2312" w:hAnsi="仿宋_GB2312" w:eastAsia="仿宋_GB2312" w:cstheme="minorBidi"/>
              <w:szCs w:val="22"/>
              <w:lang w:val="en-US" w:eastAsia="en-US" w:bidi="ar-SA"/>
            </w:rPr>
            <w:fldChar w:fldCharType="separate"/>
          </w:r>
          <w:r>
            <w:rPr>
              <w:rFonts w:hint="eastAsia"/>
              <w:lang w:val="en-US" w:eastAsia="zh-CN"/>
            </w:rPr>
            <w:t xml:space="preserve">4 </w:t>
          </w:r>
          <w:r>
            <w:rPr>
              <w:rFonts w:ascii="仿宋_GB2312" w:hAnsi="仿宋_GB2312" w:eastAsia="仿宋_GB2312"/>
            </w:rPr>
            <w:t>样机结构与功能实现</w:t>
          </w:r>
          <w:r>
            <w:tab/>
          </w:r>
          <w:r>
            <w:fldChar w:fldCharType="begin"/>
          </w:r>
          <w:r>
            <w:instrText xml:space="preserve"> PAGEREF _Toc15586 \h </w:instrText>
          </w:r>
          <w:r>
            <w:fldChar w:fldCharType="separate"/>
          </w:r>
          <w:r>
            <w:t>10</w:t>
          </w:r>
          <w:r>
            <w:fldChar w:fldCharType="end"/>
          </w:r>
          <w:r>
            <w:rPr>
              <w:rFonts w:ascii="仿宋_GB2312" w:hAnsi="仿宋_GB2312" w:eastAsia="仿宋_GB2312" w:cstheme="minorBidi"/>
              <w:color w:val="000000"/>
              <w:szCs w:val="22"/>
              <w:lang w:val="en-US" w:eastAsia="en-US" w:bidi="ar-SA"/>
            </w:rPr>
            <w:fldChar w:fldCharType="end"/>
          </w:r>
        </w:p>
        <w:p w14:paraId="5B39DF22">
          <w:pPr>
            <w:pStyle w:val="30"/>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_Toc7047 </w:instrText>
          </w:r>
          <w:r>
            <w:rPr>
              <w:rFonts w:ascii="仿宋_GB2312" w:hAnsi="仿宋_GB2312" w:eastAsia="仿宋_GB2312" w:cstheme="minorBidi"/>
              <w:szCs w:val="22"/>
              <w:lang w:val="en-US" w:eastAsia="en-US" w:bidi="ar-SA"/>
            </w:rPr>
            <w:fldChar w:fldCharType="separate"/>
          </w:r>
          <w:r>
            <w:rPr>
              <w:rFonts w:hint="eastAsia"/>
              <w:lang w:val="en-US" w:eastAsia="zh-CN"/>
            </w:rPr>
            <w:t xml:space="preserve">4.1 </w:t>
          </w:r>
          <w:r>
            <w:rPr>
              <w:rFonts w:ascii="仿宋_GB2312" w:hAnsi="仿宋_GB2312" w:eastAsia="仿宋_GB2312"/>
            </w:rPr>
            <w:t>机械结构与部件布局</w:t>
          </w:r>
          <w:r>
            <w:tab/>
          </w:r>
          <w:r>
            <w:fldChar w:fldCharType="begin"/>
          </w:r>
          <w:r>
            <w:instrText xml:space="preserve"> PAGEREF _Toc7047 \h </w:instrText>
          </w:r>
          <w:r>
            <w:fldChar w:fldCharType="separate"/>
          </w:r>
          <w:r>
            <w:t>10</w:t>
          </w:r>
          <w:r>
            <w:fldChar w:fldCharType="end"/>
          </w:r>
          <w:r>
            <w:rPr>
              <w:rFonts w:ascii="仿宋_GB2312" w:hAnsi="仿宋_GB2312" w:eastAsia="仿宋_GB2312" w:cstheme="minorBidi"/>
              <w:color w:val="000000"/>
              <w:szCs w:val="22"/>
              <w:lang w:val="en-US" w:eastAsia="en-US" w:bidi="ar-SA"/>
            </w:rPr>
            <w:fldChar w:fldCharType="end"/>
          </w:r>
        </w:p>
        <w:p w14:paraId="06403452">
          <w:pPr>
            <w:pStyle w:val="30"/>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_Toc26201 </w:instrText>
          </w:r>
          <w:r>
            <w:rPr>
              <w:rFonts w:ascii="仿宋_GB2312" w:hAnsi="仿宋_GB2312" w:eastAsia="仿宋_GB2312" w:cstheme="minorBidi"/>
              <w:szCs w:val="22"/>
              <w:lang w:val="en-US" w:eastAsia="en-US" w:bidi="ar-SA"/>
            </w:rPr>
            <w:fldChar w:fldCharType="separate"/>
          </w:r>
          <w:r>
            <w:rPr>
              <w:rFonts w:hint="eastAsia"/>
              <w:lang w:val="en-US" w:eastAsia="zh-CN"/>
            </w:rPr>
            <w:t xml:space="preserve">4.2 </w:t>
          </w:r>
          <w:r>
            <w:t>净化、移动与交互功能实现</w:t>
          </w:r>
          <w:r>
            <w:tab/>
          </w:r>
          <w:r>
            <w:fldChar w:fldCharType="begin"/>
          </w:r>
          <w:r>
            <w:instrText xml:space="preserve"> PAGEREF _Toc26201 \h </w:instrText>
          </w:r>
          <w:r>
            <w:fldChar w:fldCharType="separate"/>
          </w:r>
          <w:r>
            <w:t>10</w:t>
          </w:r>
          <w:r>
            <w:fldChar w:fldCharType="end"/>
          </w:r>
          <w:r>
            <w:rPr>
              <w:rFonts w:ascii="仿宋_GB2312" w:hAnsi="仿宋_GB2312" w:eastAsia="仿宋_GB2312" w:cstheme="minorBidi"/>
              <w:color w:val="000000"/>
              <w:szCs w:val="22"/>
              <w:lang w:val="en-US" w:eastAsia="en-US" w:bidi="ar-SA"/>
            </w:rPr>
            <w:fldChar w:fldCharType="end"/>
          </w:r>
        </w:p>
        <w:p w14:paraId="3B622022">
          <w:pPr>
            <w:pStyle w:val="30"/>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_Toc14869 </w:instrText>
          </w:r>
          <w:r>
            <w:rPr>
              <w:rFonts w:ascii="仿宋_GB2312" w:hAnsi="仿宋_GB2312" w:eastAsia="仿宋_GB2312" w:cstheme="minorBidi"/>
              <w:szCs w:val="22"/>
              <w:lang w:val="en-US" w:eastAsia="en-US" w:bidi="ar-SA"/>
            </w:rPr>
            <w:fldChar w:fldCharType="separate"/>
          </w:r>
          <w:r>
            <w:rPr>
              <w:rFonts w:hint="eastAsia"/>
              <w:lang w:val="en-US" w:eastAsia="zh-CN"/>
            </w:rPr>
            <w:t xml:space="preserve">4.3 </w:t>
          </w:r>
          <w:r>
            <w:rPr>
              <w:rFonts w:ascii="仿宋_GB2312" w:hAnsi="仿宋_GB2312" w:eastAsia="仿宋_GB2312"/>
            </w:rPr>
            <w:t>典型场景下的任务执行流程</w:t>
          </w:r>
          <w:r>
            <w:tab/>
          </w:r>
          <w:r>
            <w:fldChar w:fldCharType="begin"/>
          </w:r>
          <w:r>
            <w:instrText xml:space="preserve"> PAGEREF _Toc14869 \h </w:instrText>
          </w:r>
          <w:r>
            <w:fldChar w:fldCharType="separate"/>
          </w:r>
          <w:r>
            <w:t>10</w:t>
          </w:r>
          <w:r>
            <w:fldChar w:fldCharType="end"/>
          </w:r>
          <w:r>
            <w:rPr>
              <w:rFonts w:ascii="仿宋_GB2312" w:hAnsi="仿宋_GB2312" w:eastAsia="仿宋_GB2312" w:cstheme="minorBidi"/>
              <w:color w:val="000000"/>
              <w:szCs w:val="22"/>
              <w:lang w:val="en-US" w:eastAsia="en-US" w:bidi="ar-SA"/>
            </w:rPr>
            <w:fldChar w:fldCharType="end"/>
          </w:r>
        </w:p>
        <w:p w14:paraId="250DF591">
          <w:pPr>
            <w:pStyle w:val="27"/>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_Toc10489 </w:instrText>
          </w:r>
          <w:r>
            <w:rPr>
              <w:rFonts w:ascii="仿宋_GB2312" w:hAnsi="仿宋_GB2312" w:eastAsia="仿宋_GB2312" w:cstheme="minorBidi"/>
              <w:szCs w:val="22"/>
              <w:lang w:val="en-US" w:eastAsia="en-US" w:bidi="ar-SA"/>
            </w:rPr>
            <w:fldChar w:fldCharType="separate"/>
          </w:r>
          <w:r>
            <w:rPr>
              <w:rFonts w:hint="eastAsia"/>
              <w:lang w:val="en-US" w:eastAsia="zh-CN"/>
            </w:rPr>
            <w:t xml:space="preserve">5 </w:t>
          </w:r>
          <w:r>
            <w:rPr>
              <w:rFonts w:ascii="仿宋_GB2312" w:hAnsi="仿宋_GB2312" w:eastAsia="仿宋_GB2312"/>
            </w:rPr>
            <w:t>测试方案与性能分析</w:t>
          </w:r>
          <w:r>
            <w:tab/>
          </w:r>
          <w:r>
            <w:fldChar w:fldCharType="begin"/>
          </w:r>
          <w:r>
            <w:instrText xml:space="preserve"> PAGEREF _Toc10489 \h </w:instrText>
          </w:r>
          <w:r>
            <w:fldChar w:fldCharType="separate"/>
          </w:r>
          <w:r>
            <w:t>12</w:t>
          </w:r>
          <w:r>
            <w:fldChar w:fldCharType="end"/>
          </w:r>
          <w:r>
            <w:rPr>
              <w:rFonts w:ascii="仿宋_GB2312" w:hAnsi="仿宋_GB2312" w:eastAsia="仿宋_GB2312" w:cstheme="minorBidi"/>
              <w:color w:val="000000"/>
              <w:szCs w:val="22"/>
              <w:lang w:val="en-US" w:eastAsia="en-US" w:bidi="ar-SA"/>
            </w:rPr>
            <w:fldChar w:fldCharType="end"/>
          </w:r>
        </w:p>
        <w:p w14:paraId="0652CD32">
          <w:pPr>
            <w:pStyle w:val="30"/>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_Toc18928 </w:instrText>
          </w:r>
          <w:r>
            <w:rPr>
              <w:rFonts w:ascii="仿宋_GB2312" w:hAnsi="仿宋_GB2312" w:eastAsia="仿宋_GB2312" w:cstheme="minorBidi"/>
              <w:szCs w:val="22"/>
              <w:lang w:val="en-US" w:eastAsia="en-US" w:bidi="ar-SA"/>
            </w:rPr>
            <w:fldChar w:fldCharType="separate"/>
          </w:r>
          <w:r>
            <w:rPr>
              <w:rFonts w:hint="eastAsia"/>
              <w:lang w:val="en-US" w:eastAsia="zh-CN"/>
            </w:rPr>
            <w:t xml:space="preserve">5.1 </w:t>
          </w:r>
          <w:r>
            <w:rPr>
              <w:rFonts w:ascii="仿宋_GB2312" w:hAnsi="仿宋_GB2312" w:eastAsia="仿宋_GB2312"/>
            </w:rPr>
            <w:t>测试条件、指标与数据处理方法</w:t>
          </w:r>
          <w:r>
            <w:tab/>
          </w:r>
          <w:r>
            <w:fldChar w:fldCharType="begin"/>
          </w:r>
          <w:r>
            <w:instrText xml:space="preserve"> PAGEREF _Toc18928 \h </w:instrText>
          </w:r>
          <w:r>
            <w:fldChar w:fldCharType="separate"/>
          </w:r>
          <w:r>
            <w:t>12</w:t>
          </w:r>
          <w:r>
            <w:fldChar w:fldCharType="end"/>
          </w:r>
          <w:r>
            <w:rPr>
              <w:rFonts w:ascii="仿宋_GB2312" w:hAnsi="仿宋_GB2312" w:eastAsia="仿宋_GB2312" w:cstheme="minorBidi"/>
              <w:color w:val="000000"/>
              <w:szCs w:val="22"/>
              <w:lang w:val="en-US" w:eastAsia="en-US" w:bidi="ar-SA"/>
            </w:rPr>
            <w:fldChar w:fldCharType="end"/>
          </w:r>
        </w:p>
        <w:p w14:paraId="793E5AE5">
          <w:pPr>
            <w:pStyle w:val="30"/>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_Toc23128 </w:instrText>
          </w:r>
          <w:r>
            <w:rPr>
              <w:rFonts w:ascii="仿宋_GB2312" w:hAnsi="仿宋_GB2312" w:eastAsia="仿宋_GB2312" w:cstheme="minorBidi"/>
              <w:szCs w:val="22"/>
              <w:lang w:val="en-US" w:eastAsia="en-US" w:bidi="ar-SA"/>
            </w:rPr>
            <w:fldChar w:fldCharType="separate"/>
          </w:r>
          <w:r>
            <w:rPr>
              <w:rFonts w:hint="eastAsia"/>
              <w:lang w:val="en-US" w:eastAsia="zh-CN"/>
            </w:rPr>
            <w:t xml:space="preserve">5.2 </w:t>
          </w:r>
          <w:r>
            <w:rPr>
              <w:rFonts w:ascii="仿宋_GB2312" w:hAnsi="仿宋_GB2312" w:eastAsia="仿宋_GB2312"/>
            </w:rPr>
            <w:t>滤材与净化性能测试</w:t>
          </w:r>
          <w:r>
            <w:tab/>
          </w:r>
          <w:r>
            <w:fldChar w:fldCharType="begin"/>
          </w:r>
          <w:r>
            <w:instrText xml:space="preserve"> PAGEREF _Toc23128 \h </w:instrText>
          </w:r>
          <w:r>
            <w:fldChar w:fldCharType="separate"/>
          </w:r>
          <w:r>
            <w:t>13</w:t>
          </w:r>
          <w:r>
            <w:fldChar w:fldCharType="end"/>
          </w:r>
          <w:r>
            <w:rPr>
              <w:rFonts w:ascii="仿宋_GB2312" w:hAnsi="仿宋_GB2312" w:eastAsia="仿宋_GB2312" w:cstheme="minorBidi"/>
              <w:color w:val="000000"/>
              <w:szCs w:val="22"/>
              <w:lang w:val="en-US" w:eastAsia="en-US" w:bidi="ar-SA"/>
            </w:rPr>
            <w:fldChar w:fldCharType="end"/>
          </w:r>
        </w:p>
        <w:p w14:paraId="0B4FE7A9">
          <w:pPr>
            <w:pStyle w:val="30"/>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_Toc23212 </w:instrText>
          </w:r>
          <w:r>
            <w:rPr>
              <w:rFonts w:ascii="仿宋_GB2312" w:hAnsi="仿宋_GB2312" w:eastAsia="仿宋_GB2312" w:cstheme="minorBidi"/>
              <w:szCs w:val="22"/>
              <w:lang w:val="en-US" w:eastAsia="en-US" w:bidi="ar-SA"/>
            </w:rPr>
            <w:fldChar w:fldCharType="separate"/>
          </w:r>
          <w:r>
            <w:rPr>
              <w:rFonts w:hint="eastAsia"/>
              <w:lang w:val="en-US" w:eastAsia="zh-CN"/>
            </w:rPr>
            <w:t xml:space="preserve">5.3 </w:t>
          </w:r>
          <w:r>
            <w:rPr>
              <w:rFonts w:ascii="仿宋_GB2312" w:hAnsi="仿宋_GB2312" w:eastAsia="仿宋_GB2312"/>
            </w:rPr>
            <w:t>移动定点净化对比测试</w:t>
          </w:r>
          <w:r>
            <w:tab/>
          </w:r>
          <w:r>
            <w:fldChar w:fldCharType="begin"/>
          </w:r>
          <w:r>
            <w:instrText xml:space="preserve"> PAGEREF _Toc23212 \h </w:instrText>
          </w:r>
          <w:r>
            <w:fldChar w:fldCharType="separate"/>
          </w:r>
          <w:r>
            <w:t>14</w:t>
          </w:r>
          <w:r>
            <w:fldChar w:fldCharType="end"/>
          </w:r>
          <w:r>
            <w:rPr>
              <w:rFonts w:ascii="仿宋_GB2312" w:hAnsi="仿宋_GB2312" w:eastAsia="仿宋_GB2312" w:cstheme="minorBidi"/>
              <w:color w:val="000000"/>
              <w:szCs w:val="22"/>
              <w:lang w:val="en-US" w:eastAsia="en-US" w:bidi="ar-SA"/>
            </w:rPr>
            <w:fldChar w:fldCharType="end"/>
          </w:r>
        </w:p>
        <w:p w14:paraId="06C4E9AA">
          <w:pPr>
            <w:pStyle w:val="30"/>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_Toc25275 </w:instrText>
          </w:r>
          <w:r>
            <w:rPr>
              <w:rFonts w:ascii="仿宋_GB2312" w:hAnsi="仿宋_GB2312" w:eastAsia="仿宋_GB2312" w:cstheme="minorBidi"/>
              <w:szCs w:val="22"/>
              <w:lang w:val="en-US" w:eastAsia="en-US" w:bidi="ar-SA"/>
            </w:rPr>
            <w:fldChar w:fldCharType="separate"/>
          </w:r>
          <w:r>
            <w:rPr>
              <w:rFonts w:hint="eastAsia"/>
              <w:lang w:val="en-US" w:eastAsia="zh-CN"/>
            </w:rPr>
            <w:t xml:space="preserve">5.4 </w:t>
          </w:r>
          <w:r>
            <w:rPr>
              <w:rFonts w:ascii="仿宋_GB2312" w:hAnsi="仿宋_GB2312" w:eastAsia="仿宋_GB2312"/>
            </w:rPr>
            <w:t>导航、避障与安全测试</w:t>
          </w:r>
          <w:r>
            <w:tab/>
          </w:r>
          <w:r>
            <w:fldChar w:fldCharType="begin"/>
          </w:r>
          <w:r>
            <w:instrText xml:space="preserve"> PAGEREF _Toc25275 \h </w:instrText>
          </w:r>
          <w:r>
            <w:fldChar w:fldCharType="separate"/>
          </w:r>
          <w:r>
            <w:t>14</w:t>
          </w:r>
          <w:r>
            <w:fldChar w:fldCharType="end"/>
          </w:r>
          <w:r>
            <w:rPr>
              <w:rFonts w:ascii="仿宋_GB2312" w:hAnsi="仿宋_GB2312" w:eastAsia="仿宋_GB2312" w:cstheme="minorBidi"/>
              <w:color w:val="000000"/>
              <w:szCs w:val="22"/>
              <w:lang w:val="en-US" w:eastAsia="en-US" w:bidi="ar-SA"/>
            </w:rPr>
            <w:fldChar w:fldCharType="end"/>
          </w:r>
        </w:p>
        <w:p w14:paraId="2083D37F">
          <w:pPr>
            <w:pStyle w:val="30"/>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_Toc5718 </w:instrText>
          </w:r>
          <w:r>
            <w:rPr>
              <w:rFonts w:ascii="仿宋_GB2312" w:hAnsi="仿宋_GB2312" w:eastAsia="仿宋_GB2312" w:cstheme="minorBidi"/>
              <w:szCs w:val="22"/>
              <w:lang w:val="en-US" w:eastAsia="en-US" w:bidi="ar-SA"/>
            </w:rPr>
            <w:fldChar w:fldCharType="separate"/>
          </w:r>
          <w:r>
            <w:rPr>
              <w:rFonts w:hint="eastAsia"/>
              <w:lang w:val="en-US" w:eastAsia="zh-CN"/>
            </w:rPr>
            <w:t xml:space="preserve">5.5 </w:t>
          </w:r>
          <w:r>
            <w:rPr>
              <w:rFonts w:ascii="仿宋_GB2312" w:hAnsi="仿宋_GB2312" w:eastAsia="仿宋_GB2312"/>
            </w:rPr>
            <w:t>能耗、噪声与维护测试</w:t>
          </w:r>
          <w:r>
            <w:tab/>
          </w:r>
          <w:r>
            <w:fldChar w:fldCharType="begin"/>
          </w:r>
          <w:r>
            <w:instrText xml:space="preserve"> PAGEREF _Toc5718 \h </w:instrText>
          </w:r>
          <w:r>
            <w:fldChar w:fldCharType="separate"/>
          </w:r>
          <w:r>
            <w:t>14</w:t>
          </w:r>
          <w:r>
            <w:fldChar w:fldCharType="end"/>
          </w:r>
          <w:r>
            <w:rPr>
              <w:rFonts w:ascii="仿宋_GB2312" w:hAnsi="仿宋_GB2312" w:eastAsia="仿宋_GB2312" w:cstheme="minorBidi"/>
              <w:color w:val="000000"/>
              <w:szCs w:val="22"/>
              <w:lang w:val="en-US" w:eastAsia="en-US" w:bidi="ar-SA"/>
            </w:rPr>
            <w:fldChar w:fldCharType="end"/>
          </w:r>
        </w:p>
        <w:p w14:paraId="4BC3A46A">
          <w:pPr>
            <w:pStyle w:val="27"/>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_Toc9051 </w:instrText>
          </w:r>
          <w:r>
            <w:rPr>
              <w:rFonts w:ascii="仿宋_GB2312" w:hAnsi="仿宋_GB2312" w:eastAsia="仿宋_GB2312" w:cstheme="minorBidi"/>
              <w:szCs w:val="22"/>
              <w:lang w:val="en-US" w:eastAsia="en-US" w:bidi="ar-SA"/>
            </w:rPr>
            <w:fldChar w:fldCharType="separate"/>
          </w:r>
          <w:r>
            <w:rPr>
              <w:rFonts w:hint="eastAsia"/>
              <w:lang w:val="en-US" w:eastAsia="zh-CN"/>
            </w:rPr>
            <w:t xml:space="preserve">6 </w:t>
          </w:r>
          <w:r>
            <w:rPr>
              <w:rFonts w:ascii="仿宋_GB2312" w:hAnsi="仿宋_GB2312" w:eastAsia="仿宋_GB2312"/>
            </w:rPr>
            <w:t>产品设计与应用场景</w:t>
          </w:r>
          <w:r>
            <w:tab/>
          </w:r>
          <w:r>
            <w:fldChar w:fldCharType="begin"/>
          </w:r>
          <w:r>
            <w:instrText xml:space="preserve"> PAGEREF _Toc9051 \h </w:instrText>
          </w:r>
          <w:r>
            <w:fldChar w:fldCharType="separate"/>
          </w:r>
          <w:r>
            <w:t>15</w:t>
          </w:r>
          <w:r>
            <w:fldChar w:fldCharType="end"/>
          </w:r>
          <w:r>
            <w:rPr>
              <w:rFonts w:ascii="仿宋_GB2312" w:hAnsi="仿宋_GB2312" w:eastAsia="仿宋_GB2312" w:cstheme="minorBidi"/>
              <w:color w:val="000000"/>
              <w:szCs w:val="22"/>
              <w:lang w:val="en-US" w:eastAsia="en-US" w:bidi="ar-SA"/>
            </w:rPr>
            <w:fldChar w:fldCharType="end"/>
          </w:r>
        </w:p>
        <w:p w14:paraId="6A2B41EE">
          <w:pPr>
            <w:pStyle w:val="30"/>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_Toc9023 </w:instrText>
          </w:r>
          <w:r>
            <w:rPr>
              <w:rFonts w:ascii="仿宋_GB2312" w:hAnsi="仿宋_GB2312" w:eastAsia="仿宋_GB2312" w:cstheme="minorBidi"/>
              <w:szCs w:val="22"/>
              <w:lang w:val="en-US" w:eastAsia="en-US" w:bidi="ar-SA"/>
            </w:rPr>
            <w:fldChar w:fldCharType="separate"/>
          </w:r>
          <w:r>
            <w:t>6.1 产品定位与设计思路</w:t>
          </w:r>
          <w:r>
            <w:tab/>
          </w:r>
          <w:r>
            <w:fldChar w:fldCharType="begin"/>
          </w:r>
          <w:r>
            <w:instrText xml:space="preserve"> PAGEREF _Toc9023 \h </w:instrText>
          </w:r>
          <w:r>
            <w:fldChar w:fldCharType="separate"/>
          </w:r>
          <w:r>
            <w:t>15</w:t>
          </w:r>
          <w:r>
            <w:fldChar w:fldCharType="end"/>
          </w:r>
          <w:r>
            <w:rPr>
              <w:rFonts w:ascii="仿宋_GB2312" w:hAnsi="仿宋_GB2312" w:eastAsia="仿宋_GB2312" w:cstheme="minorBidi"/>
              <w:color w:val="000000"/>
              <w:szCs w:val="22"/>
              <w:lang w:val="en-US" w:eastAsia="en-US" w:bidi="ar-SA"/>
            </w:rPr>
            <w:fldChar w:fldCharType="end"/>
          </w:r>
        </w:p>
        <w:p w14:paraId="2654AB97">
          <w:pPr>
            <w:pStyle w:val="24"/>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_Toc4974 </w:instrText>
          </w:r>
          <w:r>
            <w:rPr>
              <w:rFonts w:ascii="仿宋_GB2312" w:hAnsi="仿宋_GB2312" w:eastAsia="仿宋_GB2312" w:cstheme="minorBidi"/>
              <w:szCs w:val="22"/>
              <w:lang w:val="en-US" w:eastAsia="en-US" w:bidi="ar-SA"/>
            </w:rPr>
            <w:fldChar w:fldCharType="separate"/>
          </w:r>
          <w:r>
            <w:t>6.1.1 产品定位</w:t>
          </w:r>
          <w:r>
            <w:tab/>
          </w:r>
          <w:r>
            <w:fldChar w:fldCharType="begin"/>
          </w:r>
          <w:r>
            <w:instrText xml:space="preserve"> PAGEREF _Toc4974 \h </w:instrText>
          </w:r>
          <w:r>
            <w:fldChar w:fldCharType="separate"/>
          </w:r>
          <w:r>
            <w:t>15</w:t>
          </w:r>
          <w:r>
            <w:fldChar w:fldCharType="end"/>
          </w:r>
          <w:r>
            <w:rPr>
              <w:rFonts w:ascii="仿宋_GB2312" w:hAnsi="仿宋_GB2312" w:eastAsia="仿宋_GB2312" w:cstheme="minorBidi"/>
              <w:color w:val="000000"/>
              <w:szCs w:val="22"/>
              <w:lang w:val="en-US" w:eastAsia="en-US" w:bidi="ar-SA"/>
            </w:rPr>
            <w:fldChar w:fldCharType="end"/>
          </w:r>
        </w:p>
        <w:p w14:paraId="41A03187">
          <w:pPr>
            <w:pStyle w:val="24"/>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_Toc1343 </w:instrText>
          </w:r>
          <w:r>
            <w:rPr>
              <w:rFonts w:ascii="仿宋_GB2312" w:hAnsi="仿宋_GB2312" w:eastAsia="仿宋_GB2312" w:cstheme="minorBidi"/>
              <w:szCs w:val="22"/>
              <w:lang w:val="en-US" w:eastAsia="en-US" w:bidi="ar-SA"/>
            </w:rPr>
            <w:fldChar w:fldCharType="separate"/>
          </w:r>
          <w:r>
            <w:t>6.1.2 设计思路</w:t>
          </w:r>
          <w:r>
            <w:tab/>
          </w:r>
          <w:r>
            <w:fldChar w:fldCharType="begin"/>
          </w:r>
          <w:r>
            <w:instrText xml:space="preserve"> PAGEREF _Toc1343 \h </w:instrText>
          </w:r>
          <w:r>
            <w:fldChar w:fldCharType="separate"/>
          </w:r>
          <w:r>
            <w:t>15</w:t>
          </w:r>
          <w:r>
            <w:fldChar w:fldCharType="end"/>
          </w:r>
          <w:r>
            <w:rPr>
              <w:rFonts w:ascii="仿宋_GB2312" w:hAnsi="仿宋_GB2312" w:eastAsia="仿宋_GB2312" w:cstheme="minorBidi"/>
              <w:color w:val="000000"/>
              <w:szCs w:val="22"/>
              <w:lang w:val="en-US" w:eastAsia="en-US" w:bidi="ar-SA"/>
            </w:rPr>
            <w:fldChar w:fldCharType="end"/>
          </w:r>
        </w:p>
        <w:p w14:paraId="32FD5BC5">
          <w:pPr>
            <w:pStyle w:val="30"/>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_Toc29412 </w:instrText>
          </w:r>
          <w:r>
            <w:rPr>
              <w:rFonts w:ascii="仿宋_GB2312" w:hAnsi="仿宋_GB2312" w:eastAsia="仿宋_GB2312" w:cstheme="minorBidi"/>
              <w:szCs w:val="22"/>
              <w:lang w:val="en-US" w:eastAsia="en-US" w:bidi="ar-SA"/>
            </w:rPr>
            <w:fldChar w:fldCharType="separate"/>
          </w:r>
          <w:r>
            <w:t>6.2 产品新颖性</w:t>
          </w:r>
          <w:r>
            <w:tab/>
          </w:r>
          <w:r>
            <w:fldChar w:fldCharType="begin"/>
          </w:r>
          <w:r>
            <w:instrText xml:space="preserve"> PAGEREF _Toc29412 \h </w:instrText>
          </w:r>
          <w:r>
            <w:fldChar w:fldCharType="separate"/>
          </w:r>
          <w:r>
            <w:t>16</w:t>
          </w:r>
          <w:r>
            <w:fldChar w:fldCharType="end"/>
          </w:r>
          <w:r>
            <w:rPr>
              <w:rFonts w:ascii="仿宋_GB2312" w:hAnsi="仿宋_GB2312" w:eastAsia="仿宋_GB2312" w:cstheme="minorBidi"/>
              <w:color w:val="000000"/>
              <w:szCs w:val="22"/>
              <w:lang w:val="en-US" w:eastAsia="en-US" w:bidi="ar-SA"/>
            </w:rPr>
            <w:fldChar w:fldCharType="end"/>
          </w:r>
        </w:p>
        <w:p w14:paraId="2FB17F66">
          <w:pPr>
            <w:pStyle w:val="24"/>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_Toc535 </w:instrText>
          </w:r>
          <w:r>
            <w:rPr>
              <w:rFonts w:ascii="仿宋_GB2312" w:hAnsi="仿宋_GB2312" w:eastAsia="仿宋_GB2312" w:cstheme="minorBidi"/>
              <w:szCs w:val="22"/>
              <w:lang w:val="en-US" w:eastAsia="en-US" w:bidi="ar-SA"/>
            </w:rPr>
            <w:fldChar w:fldCharType="separate"/>
          </w:r>
          <w:r>
            <w:t>6.2.1 从固定净化转向主动定点净化</w:t>
          </w:r>
          <w:r>
            <w:tab/>
          </w:r>
          <w:r>
            <w:fldChar w:fldCharType="begin"/>
          </w:r>
          <w:r>
            <w:instrText xml:space="preserve"> PAGEREF _Toc535 \h </w:instrText>
          </w:r>
          <w:r>
            <w:fldChar w:fldCharType="separate"/>
          </w:r>
          <w:r>
            <w:t>16</w:t>
          </w:r>
          <w:r>
            <w:fldChar w:fldCharType="end"/>
          </w:r>
          <w:r>
            <w:rPr>
              <w:rFonts w:ascii="仿宋_GB2312" w:hAnsi="仿宋_GB2312" w:eastAsia="仿宋_GB2312" w:cstheme="minorBidi"/>
              <w:color w:val="000000"/>
              <w:szCs w:val="22"/>
              <w:lang w:val="en-US" w:eastAsia="en-US" w:bidi="ar-SA"/>
            </w:rPr>
            <w:fldChar w:fldCharType="end"/>
          </w:r>
        </w:p>
        <w:p w14:paraId="07DF6E45">
          <w:pPr>
            <w:pStyle w:val="24"/>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_Toc10181 </w:instrText>
          </w:r>
          <w:r>
            <w:rPr>
              <w:rFonts w:ascii="仿宋_GB2312" w:hAnsi="仿宋_GB2312" w:eastAsia="仿宋_GB2312" w:cstheme="minorBidi"/>
              <w:szCs w:val="22"/>
              <w:lang w:val="en-US" w:eastAsia="en-US" w:bidi="ar-SA"/>
            </w:rPr>
            <w:fldChar w:fldCharType="separate"/>
          </w:r>
          <w:r>
            <w:t>6.2.2 从单点空气数值转向空间化判断</w:t>
          </w:r>
          <w:r>
            <w:tab/>
          </w:r>
          <w:r>
            <w:fldChar w:fldCharType="begin"/>
          </w:r>
          <w:r>
            <w:instrText xml:space="preserve"> PAGEREF _Toc10181 \h </w:instrText>
          </w:r>
          <w:r>
            <w:fldChar w:fldCharType="separate"/>
          </w:r>
          <w:r>
            <w:t>16</w:t>
          </w:r>
          <w:r>
            <w:fldChar w:fldCharType="end"/>
          </w:r>
          <w:r>
            <w:rPr>
              <w:rFonts w:ascii="仿宋_GB2312" w:hAnsi="仿宋_GB2312" w:eastAsia="仿宋_GB2312" w:cstheme="minorBidi"/>
              <w:color w:val="000000"/>
              <w:szCs w:val="22"/>
              <w:lang w:val="en-US" w:eastAsia="en-US" w:bidi="ar-SA"/>
            </w:rPr>
            <w:fldChar w:fldCharType="end"/>
          </w:r>
        </w:p>
        <w:p w14:paraId="21815647">
          <w:pPr>
            <w:pStyle w:val="24"/>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_Toc27095 </w:instrText>
          </w:r>
          <w:r>
            <w:rPr>
              <w:rFonts w:ascii="仿宋_GB2312" w:hAnsi="仿宋_GB2312" w:eastAsia="仿宋_GB2312" w:cstheme="minorBidi"/>
              <w:szCs w:val="22"/>
              <w:lang w:val="en-US" w:eastAsia="en-US" w:bidi="ar-SA"/>
            </w:rPr>
            <w:fldChar w:fldCharType="separate"/>
          </w:r>
          <w:r>
            <w:t>6.2.3 从单一滤芯功能转向复合净化结构</w:t>
          </w:r>
          <w:r>
            <w:tab/>
          </w:r>
          <w:r>
            <w:fldChar w:fldCharType="begin"/>
          </w:r>
          <w:r>
            <w:instrText xml:space="preserve"> PAGEREF _Toc27095 \h </w:instrText>
          </w:r>
          <w:r>
            <w:fldChar w:fldCharType="separate"/>
          </w:r>
          <w:r>
            <w:t>16</w:t>
          </w:r>
          <w:r>
            <w:fldChar w:fldCharType="end"/>
          </w:r>
          <w:r>
            <w:rPr>
              <w:rFonts w:ascii="仿宋_GB2312" w:hAnsi="仿宋_GB2312" w:eastAsia="仿宋_GB2312" w:cstheme="minorBidi"/>
              <w:color w:val="000000"/>
              <w:szCs w:val="22"/>
              <w:lang w:val="en-US" w:eastAsia="en-US" w:bidi="ar-SA"/>
            </w:rPr>
            <w:fldChar w:fldCharType="end"/>
          </w:r>
        </w:p>
        <w:p w14:paraId="72C65B2F">
          <w:pPr>
            <w:pStyle w:val="24"/>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_Toc17275 </w:instrText>
          </w:r>
          <w:r>
            <w:rPr>
              <w:rFonts w:ascii="仿宋_GB2312" w:hAnsi="仿宋_GB2312" w:eastAsia="仿宋_GB2312" w:cstheme="minorBidi"/>
              <w:szCs w:val="22"/>
              <w:lang w:val="en-US" w:eastAsia="en-US" w:bidi="ar-SA"/>
            </w:rPr>
            <w:fldChar w:fldCharType="separate"/>
          </w:r>
          <w:r>
            <w:t>6.2.4 让用户看懂设备行为</w:t>
          </w:r>
          <w:r>
            <w:tab/>
          </w:r>
          <w:r>
            <w:fldChar w:fldCharType="begin"/>
          </w:r>
          <w:r>
            <w:instrText xml:space="preserve"> PAGEREF _Toc17275 \h </w:instrText>
          </w:r>
          <w:r>
            <w:fldChar w:fldCharType="separate"/>
          </w:r>
          <w:r>
            <w:t>17</w:t>
          </w:r>
          <w:r>
            <w:fldChar w:fldCharType="end"/>
          </w:r>
          <w:r>
            <w:rPr>
              <w:rFonts w:ascii="仿宋_GB2312" w:hAnsi="仿宋_GB2312" w:eastAsia="仿宋_GB2312" w:cstheme="minorBidi"/>
              <w:color w:val="000000"/>
              <w:szCs w:val="22"/>
              <w:lang w:val="en-US" w:eastAsia="en-US" w:bidi="ar-SA"/>
            </w:rPr>
            <w:fldChar w:fldCharType="end"/>
          </w:r>
        </w:p>
        <w:p w14:paraId="4B0668D1">
          <w:pPr>
            <w:pStyle w:val="30"/>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_Toc27504 </w:instrText>
          </w:r>
          <w:r>
            <w:rPr>
              <w:rFonts w:ascii="仿宋_GB2312" w:hAnsi="仿宋_GB2312" w:eastAsia="仿宋_GB2312" w:cstheme="minorBidi"/>
              <w:szCs w:val="22"/>
              <w:lang w:val="en-US" w:eastAsia="en-US" w:bidi="ar-SA"/>
            </w:rPr>
            <w:fldChar w:fldCharType="separate"/>
          </w:r>
          <w:r>
            <w:t>6.3 潜在应用背景</w:t>
          </w:r>
          <w:r>
            <w:tab/>
          </w:r>
          <w:r>
            <w:fldChar w:fldCharType="begin"/>
          </w:r>
          <w:r>
            <w:instrText xml:space="preserve"> PAGEREF _Toc27504 \h </w:instrText>
          </w:r>
          <w:r>
            <w:fldChar w:fldCharType="separate"/>
          </w:r>
          <w:r>
            <w:t>17</w:t>
          </w:r>
          <w:r>
            <w:fldChar w:fldCharType="end"/>
          </w:r>
          <w:r>
            <w:rPr>
              <w:rFonts w:ascii="仿宋_GB2312" w:hAnsi="仿宋_GB2312" w:eastAsia="仿宋_GB2312" w:cstheme="minorBidi"/>
              <w:color w:val="000000"/>
              <w:szCs w:val="22"/>
              <w:lang w:val="en-US" w:eastAsia="en-US" w:bidi="ar-SA"/>
            </w:rPr>
            <w:fldChar w:fldCharType="end"/>
          </w:r>
        </w:p>
        <w:p w14:paraId="1F3FCD06">
          <w:pPr>
            <w:pStyle w:val="24"/>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_Toc22431 </w:instrText>
          </w:r>
          <w:r>
            <w:rPr>
              <w:rFonts w:ascii="仿宋_GB2312" w:hAnsi="仿宋_GB2312" w:eastAsia="仿宋_GB2312" w:cstheme="minorBidi"/>
              <w:szCs w:val="22"/>
              <w:lang w:val="en-US" w:eastAsia="en-US" w:bidi="ar-SA"/>
            </w:rPr>
            <w:fldChar w:fldCharType="separate"/>
          </w:r>
          <w:r>
            <w:t>6.3.1 厨房烹饪场景</w:t>
          </w:r>
          <w:r>
            <w:tab/>
          </w:r>
          <w:r>
            <w:fldChar w:fldCharType="begin"/>
          </w:r>
          <w:r>
            <w:instrText xml:space="preserve"> PAGEREF _Toc22431 \h </w:instrText>
          </w:r>
          <w:r>
            <w:fldChar w:fldCharType="separate"/>
          </w:r>
          <w:r>
            <w:t>17</w:t>
          </w:r>
          <w:r>
            <w:fldChar w:fldCharType="end"/>
          </w:r>
          <w:r>
            <w:rPr>
              <w:rFonts w:ascii="仿宋_GB2312" w:hAnsi="仿宋_GB2312" w:eastAsia="仿宋_GB2312" w:cstheme="minorBidi"/>
              <w:color w:val="000000"/>
              <w:szCs w:val="22"/>
              <w:lang w:val="en-US" w:eastAsia="en-US" w:bidi="ar-SA"/>
            </w:rPr>
            <w:fldChar w:fldCharType="end"/>
          </w:r>
        </w:p>
        <w:p w14:paraId="0AE67D20">
          <w:pPr>
            <w:pStyle w:val="24"/>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_Toc7899 </w:instrText>
          </w:r>
          <w:r>
            <w:rPr>
              <w:rFonts w:ascii="仿宋_GB2312" w:hAnsi="仿宋_GB2312" w:eastAsia="仿宋_GB2312" w:cstheme="minorBidi"/>
              <w:szCs w:val="22"/>
              <w:lang w:val="en-US" w:eastAsia="en-US" w:bidi="ar-SA"/>
            </w:rPr>
            <w:fldChar w:fldCharType="separate"/>
          </w:r>
          <w:r>
            <w:t>6.3.2 卧室夜间场景</w:t>
          </w:r>
          <w:r>
            <w:tab/>
          </w:r>
          <w:r>
            <w:fldChar w:fldCharType="begin"/>
          </w:r>
          <w:r>
            <w:instrText xml:space="preserve"> PAGEREF _Toc7899 \h </w:instrText>
          </w:r>
          <w:r>
            <w:fldChar w:fldCharType="separate"/>
          </w:r>
          <w:r>
            <w:t>17</w:t>
          </w:r>
          <w:r>
            <w:fldChar w:fldCharType="end"/>
          </w:r>
          <w:r>
            <w:rPr>
              <w:rFonts w:ascii="仿宋_GB2312" w:hAnsi="仿宋_GB2312" w:eastAsia="仿宋_GB2312" w:cstheme="minorBidi"/>
              <w:color w:val="000000"/>
              <w:szCs w:val="22"/>
              <w:lang w:val="en-US" w:eastAsia="en-US" w:bidi="ar-SA"/>
            </w:rPr>
            <w:fldChar w:fldCharType="end"/>
          </w:r>
        </w:p>
        <w:p w14:paraId="3BB9EF22">
          <w:pPr>
            <w:pStyle w:val="24"/>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_Toc15871 </w:instrText>
          </w:r>
          <w:r>
            <w:rPr>
              <w:rFonts w:ascii="仿宋_GB2312" w:hAnsi="仿宋_GB2312" w:eastAsia="仿宋_GB2312" w:cstheme="minorBidi"/>
              <w:szCs w:val="22"/>
              <w:lang w:val="en-US" w:eastAsia="en-US" w:bidi="ar-SA"/>
            </w:rPr>
            <w:fldChar w:fldCharType="separate"/>
          </w:r>
          <w:r>
            <w:t>6.3.3 新装修与新家具场景</w:t>
          </w:r>
          <w:r>
            <w:tab/>
          </w:r>
          <w:r>
            <w:fldChar w:fldCharType="begin"/>
          </w:r>
          <w:r>
            <w:instrText xml:space="preserve"> PAGEREF _Toc15871 \h </w:instrText>
          </w:r>
          <w:r>
            <w:fldChar w:fldCharType="separate"/>
          </w:r>
          <w:r>
            <w:t>17</w:t>
          </w:r>
          <w:r>
            <w:fldChar w:fldCharType="end"/>
          </w:r>
          <w:r>
            <w:rPr>
              <w:rFonts w:ascii="仿宋_GB2312" w:hAnsi="仿宋_GB2312" w:eastAsia="仿宋_GB2312" w:cstheme="minorBidi"/>
              <w:color w:val="000000"/>
              <w:szCs w:val="22"/>
              <w:lang w:val="en-US" w:eastAsia="en-US" w:bidi="ar-SA"/>
            </w:rPr>
            <w:fldChar w:fldCharType="end"/>
          </w:r>
        </w:p>
        <w:p w14:paraId="3BF43317">
          <w:pPr>
            <w:pStyle w:val="24"/>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_Toc31101 </w:instrText>
          </w:r>
          <w:r>
            <w:rPr>
              <w:rFonts w:ascii="仿宋_GB2312" w:hAnsi="仿宋_GB2312" w:eastAsia="仿宋_GB2312" w:cstheme="minorBidi"/>
              <w:szCs w:val="22"/>
              <w:lang w:val="en-US" w:eastAsia="en-US" w:bidi="ar-SA"/>
            </w:rPr>
            <w:fldChar w:fldCharType="separate"/>
          </w:r>
          <w:r>
            <w:t>6.3.4 养宠家庭场景</w:t>
          </w:r>
          <w:r>
            <w:tab/>
          </w:r>
          <w:r>
            <w:fldChar w:fldCharType="begin"/>
          </w:r>
          <w:r>
            <w:instrText xml:space="preserve"> PAGEREF _Toc31101 \h </w:instrText>
          </w:r>
          <w:r>
            <w:fldChar w:fldCharType="separate"/>
          </w:r>
          <w:r>
            <w:t>18</w:t>
          </w:r>
          <w:r>
            <w:fldChar w:fldCharType="end"/>
          </w:r>
          <w:r>
            <w:rPr>
              <w:rFonts w:ascii="仿宋_GB2312" w:hAnsi="仿宋_GB2312" w:eastAsia="仿宋_GB2312" w:cstheme="minorBidi"/>
              <w:color w:val="000000"/>
              <w:szCs w:val="22"/>
              <w:lang w:val="en-US" w:eastAsia="en-US" w:bidi="ar-SA"/>
            </w:rPr>
            <w:fldChar w:fldCharType="end"/>
          </w:r>
        </w:p>
        <w:p w14:paraId="135FF782">
          <w:pPr>
            <w:pStyle w:val="24"/>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_Toc22002 </w:instrText>
          </w:r>
          <w:r>
            <w:rPr>
              <w:rFonts w:ascii="仿宋_GB2312" w:hAnsi="仿宋_GB2312" w:eastAsia="仿宋_GB2312" w:cstheme="minorBidi"/>
              <w:szCs w:val="22"/>
              <w:lang w:val="en-US" w:eastAsia="en-US" w:bidi="ar-SA"/>
            </w:rPr>
            <w:fldChar w:fldCharType="separate"/>
          </w:r>
          <w:r>
            <w:t>6.3.5 老人、儿童和敏感人群家庭场景</w:t>
          </w:r>
          <w:r>
            <w:tab/>
          </w:r>
          <w:r>
            <w:fldChar w:fldCharType="begin"/>
          </w:r>
          <w:r>
            <w:instrText xml:space="preserve"> PAGEREF _Toc22002 \h </w:instrText>
          </w:r>
          <w:r>
            <w:fldChar w:fldCharType="separate"/>
          </w:r>
          <w:r>
            <w:t>18</w:t>
          </w:r>
          <w:r>
            <w:fldChar w:fldCharType="end"/>
          </w:r>
          <w:r>
            <w:rPr>
              <w:rFonts w:ascii="仿宋_GB2312" w:hAnsi="仿宋_GB2312" w:eastAsia="仿宋_GB2312" w:cstheme="minorBidi"/>
              <w:color w:val="000000"/>
              <w:szCs w:val="22"/>
              <w:lang w:val="en-US" w:eastAsia="en-US" w:bidi="ar-SA"/>
            </w:rPr>
            <w:fldChar w:fldCharType="end"/>
          </w:r>
        </w:p>
        <w:p w14:paraId="65C2CB0D">
          <w:pPr>
            <w:pStyle w:val="30"/>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_Toc18101 </w:instrText>
          </w:r>
          <w:r>
            <w:rPr>
              <w:rFonts w:ascii="仿宋_GB2312" w:hAnsi="仿宋_GB2312" w:eastAsia="仿宋_GB2312" w:cstheme="minorBidi"/>
              <w:szCs w:val="22"/>
              <w:lang w:val="en-US" w:eastAsia="en-US" w:bidi="ar-SA"/>
            </w:rPr>
            <w:fldChar w:fldCharType="separate"/>
          </w:r>
          <w:r>
            <w:t>6.4 使用维护与安全边界</w:t>
          </w:r>
          <w:r>
            <w:tab/>
          </w:r>
          <w:r>
            <w:fldChar w:fldCharType="begin"/>
          </w:r>
          <w:r>
            <w:instrText xml:space="preserve"> PAGEREF _Toc18101 \h </w:instrText>
          </w:r>
          <w:r>
            <w:fldChar w:fldCharType="separate"/>
          </w:r>
          <w:r>
            <w:t>19</w:t>
          </w:r>
          <w:r>
            <w:fldChar w:fldCharType="end"/>
          </w:r>
          <w:r>
            <w:rPr>
              <w:rFonts w:ascii="仿宋_GB2312" w:hAnsi="仿宋_GB2312" w:eastAsia="仿宋_GB2312" w:cstheme="minorBidi"/>
              <w:color w:val="000000"/>
              <w:szCs w:val="22"/>
              <w:lang w:val="en-US" w:eastAsia="en-US" w:bidi="ar-SA"/>
            </w:rPr>
            <w:fldChar w:fldCharType="end"/>
          </w:r>
        </w:p>
        <w:p w14:paraId="147B40E1">
          <w:pPr>
            <w:pStyle w:val="24"/>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_Toc2362 </w:instrText>
          </w:r>
          <w:r>
            <w:rPr>
              <w:rFonts w:ascii="仿宋_GB2312" w:hAnsi="仿宋_GB2312" w:eastAsia="仿宋_GB2312" w:cstheme="minorBidi"/>
              <w:szCs w:val="22"/>
              <w:lang w:val="en-US" w:eastAsia="en-US" w:bidi="ar-SA"/>
            </w:rPr>
            <w:fldChar w:fldCharType="separate"/>
          </w:r>
          <w:r>
            <w:t>6.4.1 使用维护</w:t>
          </w:r>
          <w:r>
            <w:tab/>
          </w:r>
          <w:r>
            <w:fldChar w:fldCharType="begin"/>
          </w:r>
          <w:r>
            <w:instrText xml:space="preserve"> PAGEREF _Toc2362 \h </w:instrText>
          </w:r>
          <w:r>
            <w:fldChar w:fldCharType="separate"/>
          </w:r>
          <w:r>
            <w:t>19</w:t>
          </w:r>
          <w:r>
            <w:fldChar w:fldCharType="end"/>
          </w:r>
          <w:r>
            <w:rPr>
              <w:rFonts w:ascii="仿宋_GB2312" w:hAnsi="仿宋_GB2312" w:eastAsia="仿宋_GB2312" w:cstheme="minorBidi"/>
              <w:color w:val="000000"/>
              <w:szCs w:val="22"/>
              <w:lang w:val="en-US" w:eastAsia="en-US" w:bidi="ar-SA"/>
            </w:rPr>
            <w:fldChar w:fldCharType="end"/>
          </w:r>
        </w:p>
        <w:p w14:paraId="7AC5560F">
          <w:pPr>
            <w:pStyle w:val="24"/>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_Toc19885 </w:instrText>
          </w:r>
          <w:r>
            <w:rPr>
              <w:rFonts w:ascii="仿宋_GB2312" w:hAnsi="仿宋_GB2312" w:eastAsia="仿宋_GB2312" w:cstheme="minorBidi"/>
              <w:szCs w:val="22"/>
              <w:lang w:val="en-US" w:eastAsia="en-US" w:bidi="ar-SA"/>
            </w:rPr>
            <w:fldChar w:fldCharType="separate"/>
          </w:r>
          <w:r>
            <w:t>6.4.2 安全边界</w:t>
          </w:r>
          <w:r>
            <w:tab/>
          </w:r>
          <w:r>
            <w:fldChar w:fldCharType="begin"/>
          </w:r>
          <w:r>
            <w:instrText xml:space="preserve"> PAGEREF _Toc19885 \h </w:instrText>
          </w:r>
          <w:r>
            <w:fldChar w:fldCharType="separate"/>
          </w:r>
          <w:r>
            <w:t>19</w:t>
          </w:r>
          <w:r>
            <w:fldChar w:fldCharType="end"/>
          </w:r>
          <w:r>
            <w:rPr>
              <w:rFonts w:ascii="仿宋_GB2312" w:hAnsi="仿宋_GB2312" w:eastAsia="仿宋_GB2312" w:cstheme="minorBidi"/>
              <w:color w:val="000000"/>
              <w:szCs w:val="22"/>
              <w:lang w:val="en-US" w:eastAsia="en-US" w:bidi="ar-SA"/>
            </w:rPr>
            <w:fldChar w:fldCharType="end"/>
          </w:r>
        </w:p>
        <w:p w14:paraId="46B269BE">
          <w:pPr>
            <w:pStyle w:val="27"/>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_Toc15617 </w:instrText>
          </w:r>
          <w:r>
            <w:rPr>
              <w:rFonts w:ascii="仿宋_GB2312" w:hAnsi="仿宋_GB2312" w:eastAsia="仿宋_GB2312" w:cstheme="minorBidi"/>
              <w:szCs w:val="22"/>
              <w:lang w:val="en-US" w:eastAsia="en-US" w:bidi="ar-SA"/>
            </w:rPr>
            <w:fldChar w:fldCharType="separate"/>
          </w:r>
          <w:r>
            <w:rPr>
              <w:rFonts w:hint="eastAsia"/>
              <w:lang w:val="en-US" w:eastAsia="zh-CN"/>
            </w:rPr>
            <w:t>7 创新特点与应用前景</w:t>
          </w:r>
          <w:r>
            <w:tab/>
          </w:r>
          <w:r>
            <w:fldChar w:fldCharType="begin"/>
          </w:r>
          <w:r>
            <w:instrText xml:space="preserve"> PAGEREF _Toc15617 \h </w:instrText>
          </w:r>
          <w:r>
            <w:fldChar w:fldCharType="separate"/>
          </w:r>
          <w:r>
            <w:t>20</w:t>
          </w:r>
          <w:r>
            <w:fldChar w:fldCharType="end"/>
          </w:r>
          <w:r>
            <w:rPr>
              <w:rFonts w:ascii="仿宋_GB2312" w:hAnsi="仿宋_GB2312" w:eastAsia="仿宋_GB2312" w:cstheme="minorBidi"/>
              <w:color w:val="000000"/>
              <w:szCs w:val="22"/>
              <w:lang w:val="en-US" w:eastAsia="en-US" w:bidi="ar-SA"/>
            </w:rPr>
            <w:fldChar w:fldCharType="end"/>
          </w:r>
        </w:p>
        <w:p w14:paraId="0FF11CC1">
          <w:pPr>
            <w:pStyle w:val="30"/>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_Toc22249 </w:instrText>
          </w:r>
          <w:r>
            <w:rPr>
              <w:rFonts w:ascii="仿宋_GB2312" w:hAnsi="仿宋_GB2312" w:eastAsia="仿宋_GB2312" w:cstheme="minorBidi"/>
              <w:szCs w:val="22"/>
              <w:lang w:val="en-US" w:eastAsia="en-US" w:bidi="ar-SA"/>
            </w:rPr>
            <w:fldChar w:fldCharType="separate"/>
          </w:r>
          <w:r>
            <w:rPr>
              <w:rFonts w:hint="eastAsia"/>
              <w:lang w:val="en-US" w:eastAsia="zh-CN"/>
            </w:rPr>
            <w:t>7.1 材料、移动与决策协同创新</w:t>
          </w:r>
          <w:r>
            <w:tab/>
          </w:r>
          <w:r>
            <w:fldChar w:fldCharType="begin"/>
          </w:r>
          <w:r>
            <w:instrText xml:space="preserve"> PAGEREF _Toc22249 \h </w:instrText>
          </w:r>
          <w:r>
            <w:fldChar w:fldCharType="separate"/>
          </w:r>
          <w:r>
            <w:t>20</w:t>
          </w:r>
          <w:r>
            <w:fldChar w:fldCharType="end"/>
          </w:r>
          <w:r>
            <w:rPr>
              <w:rFonts w:ascii="仿宋_GB2312" w:hAnsi="仿宋_GB2312" w:eastAsia="仿宋_GB2312" w:cstheme="minorBidi"/>
              <w:color w:val="000000"/>
              <w:szCs w:val="22"/>
              <w:lang w:val="en-US" w:eastAsia="en-US" w:bidi="ar-SA"/>
            </w:rPr>
            <w:fldChar w:fldCharType="end"/>
          </w:r>
        </w:p>
        <w:p w14:paraId="390A8DC8">
          <w:pPr>
            <w:pStyle w:val="30"/>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_Toc14263 </w:instrText>
          </w:r>
          <w:r>
            <w:rPr>
              <w:rFonts w:ascii="仿宋_GB2312" w:hAnsi="仿宋_GB2312" w:eastAsia="仿宋_GB2312" w:cstheme="minorBidi"/>
              <w:szCs w:val="22"/>
              <w:lang w:val="en-US" w:eastAsia="en-US" w:bidi="ar-SA"/>
            </w:rPr>
            <w:fldChar w:fldCharType="separate"/>
          </w:r>
          <w:r>
            <w:rPr>
              <w:rFonts w:hint="eastAsia"/>
              <w:lang w:val="en-US" w:eastAsia="zh-CN"/>
            </w:rPr>
            <w:t xml:space="preserve">7.2 </w:t>
          </w:r>
          <w:r>
            <w:rPr>
              <w:rFonts w:ascii="仿宋_GB2312" w:hAnsi="仿宋_GB2312" w:eastAsia="仿宋_GB2312"/>
            </w:rPr>
            <w:t>产品转化与模块化路径</w:t>
          </w:r>
          <w:r>
            <w:tab/>
          </w:r>
          <w:r>
            <w:fldChar w:fldCharType="begin"/>
          </w:r>
          <w:r>
            <w:instrText xml:space="preserve"> PAGEREF _Toc14263 \h </w:instrText>
          </w:r>
          <w:r>
            <w:fldChar w:fldCharType="separate"/>
          </w:r>
          <w:r>
            <w:t>20</w:t>
          </w:r>
          <w:r>
            <w:fldChar w:fldCharType="end"/>
          </w:r>
          <w:r>
            <w:rPr>
              <w:rFonts w:ascii="仿宋_GB2312" w:hAnsi="仿宋_GB2312" w:eastAsia="仿宋_GB2312" w:cstheme="minorBidi"/>
              <w:color w:val="000000"/>
              <w:szCs w:val="22"/>
              <w:lang w:val="en-US" w:eastAsia="en-US" w:bidi="ar-SA"/>
            </w:rPr>
            <w:fldChar w:fldCharType="end"/>
          </w:r>
        </w:p>
        <w:p w14:paraId="2CDF4FE3">
          <w:pPr>
            <w:pStyle w:val="30"/>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_Toc5933 </w:instrText>
          </w:r>
          <w:r>
            <w:rPr>
              <w:rFonts w:ascii="仿宋_GB2312" w:hAnsi="仿宋_GB2312" w:eastAsia="仿宋_GB2312" w:cstheme="minorBidi"/>
              <w:szCs w:val="22"/>
              <w:lang w:val="en-US" w:eastAsia="en-US" w:bidi="ar-SA"/>
            </w:rPr>
            <w:fldChar w:fldCharType="separate"/>
          </w:r>
          <w:r>
            <w:rPr>
              <w:rFonts w:hint="eastAsia"/>
              <w:lang w:val="en-US" w:eastAsia="zh-CN"/>
            </w:rPr>
            <w:t xml:space="preserve">7.3 </w:t>
          </w:r>
          <w:r>
            <w:rPr>
              <w:rFonts w:ascii="仿宋_GB2312" w:hAnsi="仿宋_GB2312" w:eastAsia="仿宋_GB2312"/>
            </w:rPr>
            <w:t>社会价值与后续发展方向</w:t>
          </w:r>
          <w:r>
            <w:tab/>
          </w:r>
          <w:r>
            <w:fldChar w:fldCharType="begin"/>
          </w:r>
          <w:r>
            <w:instrText xml:space="preserve"> PAGEREF _Toc5933 \h </w:instrText>
          </w:r>
          <w:r>
            <w:fldChar w:fldCharType="separate"/>
          </w:r>
          <w:r>
            <w:t>20</w:t>
          </w:r>
          <w:r>
            <w:fldChar w:fldCharType="end"/>
          </w:r>
          <w:r>
            <w:rPr>
              <w:rFonts w:ascii="仿宋_GB2312" w:hAnsi="仿宋_GB2312" w:eastAsia="仿宋_GB2312" w:cstheme="minorBidi"/>
              <w:color w:val="000000"/>
              <w:szCs w:val="22"/>
              <w:lang w:val="en-US" w:eastAsia="en-US" w:bidi="ar-SA"/>
            </w:rPr>
            <w:fldChar w:fldCharType="end"/>
          </w:r>
        </w:p>
        <w:p w14:paraId="758A229B">
          <w:pPr>
            <w:pStyle w:val="27"/>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_Toc2774 </w:instrText>
          </w:r>
          <w:r>
            <w:rPr>
              <w:rFonts w:ascii="仿宋_GB2312" w:hAnsi="仿宋_GB2312" w:eastAsia="仿宋_GB2312" w:cstheme="minorBidi"/>
              <w:szCs w:val="22"/>
              <w:lang w:val="en-US" w:eastAsia="en-US" w:bidi="ar-SA"/>
            </w:rPr>
            <w:fldChar w:fldCharType="separate"/>
          </w:r>
          <w:r>
            <w:rPr>
              <w:rFonts w:hint="eastAsia"/>
              <w:lang w:val="en-US" w:eastAsia="zh-CN"/>
            </w:rPr>
            <w:t xml:space="preserve">8 </w:t>
          </w:r>
          <w:r>
            <w:rPr>
              <w:rFonts w:ascii="仿宋_GB2312" w:hAnsi="仿宋_GB2312" w:eastAsia="仿宋_GB2312"/>
            </w:rPr>
            <w:t>结论</w:t>
          </w:r>
          <w:r>
            <w:tab/>
          </w:r>
          <w:r>
            <w:fldChar w:fldCharType="begin"/>
          </w:r>
          <w:r>
            <w:instrText xml:space="preserve"> PAGEREF _Toc2774 \h </w:instrText>
          </w:r>
          <w:r>
            <w:fldChar w:fldCharType="separate"/>
          </w:r>
          <w:r>
            <w:t>21</w:t>
          </w:r>
          <w:r>
            <w:fldChar w:fldCharType="end"/>
          </w:r>
          <w:r>
            <w:rPr>
              <w:rFonts w:ascii="仿宋_GB2312" w:hAnsi="仿宋_GB2312" w:eastAsia="仿宋_GB2312" w:cstheme="minorBidi"/>
              <w:color w:val="000000"/>
              <w:szCs w:val="22"/>
              <w:lang w:val="en-US" w:eastAsia="en-US" w:bidi="ar-SA"/>
            </w:rPr>
            <w:fldChar w:fldCharType="end"/>
          </w:r>
        </w:p>
        <w:p w14:paraId="242F2AC3">
          <w:pPr>
            <w:pStyle w:val="27"/>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_Toc29359 </w:instrText>
          </w:r>
          <w:r>
            <w:rPr>
              <w:rFonts w:ascii="仿宋_GB2312" w:hAnsi="仿宋_GB2312" w:eastAsia="仿宋_GB2312" w:cstheme="minorBidi"/>
              <w:szCs w:val="22"/>
              <w:lang w:val="en-US" w:eastAsia="en-US" w:bidi="ar-SA"/>
            </w:rPr>
            <w:fldChar w:fldCharType="separate"/>
          </w:r>
          <w:r>
            <w:rPr>
              <w:rFonts w:ascii="仿宋_GB2312" w:hAnsi="仿宋_GB2312" w:eastAsia="仿宋_GB2312"/>
            </w:rPr>
            <w:t>参考文献</w:t>
          </w:r>
          <w:r>
            <w:tab/>
          </w:r>
          <w:r>
            <w:fldChar w:fldCharType="begin"/>
          </w:r>
          <w:r>
            <w:instrText xml:space="preserve"> PAGEREF _Toc29359 \h </w:instrText>
          </w:r>
          <w:r>
            <w:fldChar w:fldCharType="separate"/>
          </w:r>
          <w:r>
            <w:t>21</w:t>
          </w:r>
          <w:r>
            <w:fldChar w:fldCharType="end"/>
          </w:r>
          <w:r>
            <w:rPr>
              <w:rFonts w:ascii="仿宋_GB2312" w:hAnsi="仿宋_GB2312" w:eastAsia="仿宋_GB2312" w:cstheme="minorBidi"/>
              <w:color w:val="000000"/>
              <w:szCs w:val="22"/>
              <w:lang w:val="en-US" w:eastAsia="en-US" w:bidi="ar-SA"/>
            </w:rPr>
            <w:fldChar w:fldCharType="end"/>
          </w:r>
        </w:p>
        <w:p w14:paraId="21F3C9FE">
          <w:pPr>
            <w:pStyle w:val="27"/>
            <w:tabs>
              <w:tab w:val="right" w:leader="dot" w:pos="9972"/>
            </w:tabs>
          </w:pPr>
          <w:r>
            <w:rPr>
              <w:rFonts w:ascii="仿宋_GB2312" w:hAnsi="仿宋_GB2312" w:eastAsia="仿宋_GB2312" w:cstheme="minorBidi"/>
              <w:color w:val="000000"/>
              <w:szCs w:val="22"/>
              <w:lang w:val="en-US" w:eastAsia="en-US" w:bidi="ar-SA"/>
            </w:rPr>
            <w:fldChar w:fldCharType="begin"/>
          </w:r>
          <w:r>
            <w:rPr>
              <w:rFonts w:ascii="仿宋_GB2312" w:hAnsi="仿宋_GB2312" w:eastAsia="仿宋_GB2312" w:cstheme="minorBidi"/>
              <w:szCs w:val="22"/>
              <w:lang w:val="en-US" w:eastAsia="en-US" w:bidi="ar-SA"/>
            </w:rPr>
            <w:instrText xml:space="preserve"> HYPERLINK \l _Toc18392 </w:instrText>
          </w:r>
          <w:r>
            <w:rPr>
              <w:rFonts w:ascii="仿宋_GB2312" w:hAnsi="仿宋_GB2312" w:eastAsia="仿宋_GB2312" w:cstheme="minorBidi"/>
              <w:szCs w:val="22"/>
              <w:lang w:val="en-US" w:eastAsia="en-US" w:bidi="ar-SA"/>
            </w:rPr>
            <w:fldChar w:fldCharType="separate"/>
          </w:r>
          <w:r>
            <w:rPr>
              <w:rFonts w:ascii="仿宋_GB2312" w:hAnsi="仿宋_GB2312" w:eastAsia="仿宋_GB2312"/>
            </w:rPr>
            <w:t>附录：专利证书</w:t>
          </w:r>
          <w:r>
            <w:tab/>
          </w:r>
          <w:r>
            <w:fldChar w:fldCharType="begin"/>
          </w:r>
          <w:r>
            <w:instrText xml:space="preserve"> PAGEREF _Toc18392 \h </w:instrText>
          </w:r>
          <w:r>
            <w:fldChar w:fldCharType="separate"/>
          </w:r>
          <w:r>
            <w:t>22</w:t>
          </w:r>
          <w:r>
            <w:fldChar w:fldCharType="end"/>
          </w:r>
          <w:r>
            <w:rPr>
              <w:rFonts w:ascii="仿宋_GB2312" w:hAnsi="仿宋_GB2312" w:eastAsia="仿宋_GB2312" w:cstheme="minorBidi"/>
              <w:color w:val="000000"/>
              <w:szCs w:val="22"/>
              <w:lang w:val="en-US" w:eastAsia="en-US" w:bidi="ar-SA"/>
            </w:rPr>
            <w:fldChar w:fldCharType="end"/>
          </w:r>
        </w:p>
        <w:p w14:paraId="7F860CC4">
          <w:pPr>
            <w:rPr>
              <w:rFonts w:ascii="仿宋_GB2312" w:hAnsi="仿宋_GB2312" w:eastAsia="仿宋_GB2312" w:cstheme="minorBidi"/>
              <w:color w:val="000000"/>
              <w:sz w:val="24"/>
              <w:szCs w:val="22"/>
              <w:lang w:val="en-US" w:eastAsia="en-US" w:bidi="ar-SA"/>
            </w:rPr>
          </w:pPr>
          <w:r>
            <w:rPr>
              <w:rFonts w:ascii="仿宋_GB2312" w:hAnsi="仿宋_GB2312" w:eastAsia="仿宋_GB2312" w:cstheme="minorBidi"/>
              <w:color w:val="000000"/>
              <w:szCs w:val="22"/>
              <w:lang w:val="en-US" w:eastAsia="en-US" w:bidi="ar-SA"/>
            </w:rPr>
            <w:fldChar w:fldCharType="end"/>
          </w:r>
        </w:p>
      </w:sdtContent>
    </w:sdt>
    <w:p w14:paraId="6CC0C0F8">
      <w:pPr>
        <w:rPr>
          <w:rFonts w:ascii="仿宋_GB2312" w:hAnsi="仿宋_GB2312" w:eastAsia="仿宋_GB2312" w:cstheme="minorBidi"/>
          <w:color w:val="000000"/>
          <w:sz w:val="24"/>
          <w:szCs w:val="22"/>
          <w:lang w:val="en-US" w:eastAsia="en-US" w:bidi="ar-SA"/>
        </w:rPr>
        <w:sectPr>
          <w:pgSz w:w="12240" w:h="15840"/>
          <w:pgMar w:top="1134" w:right="1134" w:bottom="1134" w:left="1134" w:header="567" w:footer="567" w:gutter="0"/>
          <w:pgBorders>
            <w:top w:val="none" w:sz="0" w:space="0"/>
            <w:left w:val="none" w:sz="0" w:space="0"/>
            <w:bottom w:val="none" w:sz="0" w:space="0"/>
            <w:right w:val="none" w:sz="0" w:space="0"/>
          </w:pgBorders>
          <w:cols w:space="720" w:num="1"/>
          <w:docGrid w:linePitch="360" w:charSpace="0"/>
        </w:sectPr>
      </w:pPr>
    </w:p>
    <w:p w14:paraId="68913812">
      <w:pPr>
        <w:pStyle w:val="3"/>
        <w:numPr>
          <w:ilvl w:val="0"/>
          <w:numId w:val="0"/>
        </w:numPr>
        <w:ind w:leftChars="0"/>
      </w:pPr>
      <w:bookmarkStart w:id="1" w:name="_Toc25544"/>
      <w:bookmarkStart w:id="2" w:name="_Toc232968925"/>
      <w:r>
        <w:rPr>
          <w:rFonts w:hint="eastAsia"/>
          <w:b/>
          <w:color w:val="000000"/>
          <w:sz w:val="28"/>
          <w:lang w:val="en-US" w:eastAsia="zh-CN"/>
        </w:rPr>
        <w:t xml:space="preserve">1 </w:t>
      </w:r>
      <w:r>
        <w:rPr>
          <w:rFonts w:ascii="仿宋_GB2312" w:hAnsi="仿宋_GB2312" w:eastAsia="仿宋_GB2312"/>
          <w:b/>
          <w:color w:val="000000"/>
          <w:sz w:val="28"/>
        </w:rPr>
        <w:t>项目背景与需求分析</w:t>
      </w:r>
      <w:bookmarkEnd w:id="1"/>
      <w:bookmarkEnd w:id="2"/>
    </w:p>
    <w:p w14:paraId="2620FF81">
      <w:pPr>
        <w:pStyle w:val="4"/>
        <w:numPr>
          <w:ilvl w:val="0"/>
          <w:numId w:val="0"/>
        </w:numPr>
      </w:pPr>
      <w:bookmarkStart w:id="3" w:name="_Toc232968926"/>
      <w:bookmarkStart w:id="4" w:name="_Toc20760"/>
      <w:r>
        <w:rPr>
          <w:rFonts w:hint="eastAsia"/>
          <w:b/>
          <w:color w:val="000000"/>
          <w:sz w:val="28"/>
          <w:lang w:val="en-US" w:eastAsia="zh-CN"/>
        </w:rPr>
        <w:t xml:space="preserve">1.1 </w:t>
      </w:r>
      <w:r>
        <w:rPr>
          <w:rFonts w:ascii="仿宋_GB2312" w:hAnsi="仿宋_GB2312" w:eastAsia="仿宋_GB2312"/>
          <w:b/>
          <w:color w:val="000000"/>
          <w:sz w:val="28"/>
        </w:rPr>
        <w:t>家庭空气污染的动态特征</w:t>
      </w:r>
      <w:bookmarkEnd w:id="3"/>
      <w:bookmarkEnd w:id="4"/>
    </w:p>
    <w:p w14:paraId="5AF6C018">
      <w:pPr>
        <w:ind w:firstLine="420"/>
        <w:jc w:val="both"/>
      </w:pPr>
      <w:r>
        <w:rPr>
          <w:rFonts w:ascii="仿宋_GB2312" w:hAnsi="仿宋_GB2312" w:eastAsia="仿宋_GB2312"/>
          <w:b w:val="0"/>
          <w:color w:val="000000"/>
          <w:sz w:val="24"/>
        </w:rPr>
        <w:t>家庭环境中的空气问题并不总是均匀出现。烹饪后的油烟和异味会沿门口、走廊等路径扩散；新装修家具附近可能持续释放挥发性有机物；养宠区域容易积累毛屑、皮屑和近地层扬尘；卧室夜间则更关注低噪运行和空气状态变化。污染源、人员活动和通风条件共同决定了热点出现的位置和持续时间。室内空气评价涉及的基本术语与限值可参照 GB/T 18883—2022[1]。</w:t>
      </w:r>
    </w:p>
    <w:p w14:paraId="47343674">
      <w:pPr>
        <w:ind w:firstLine="420"/>
        <w:jc w:val="both"/>
      </w:pPr>
      <w:r>
        <w:rPr>
          <w:rFonts w:ascii="仿宋_GB2312" w:hAnsi="仿宋_GB2312" w:eastAsia="仿宋_GB2312"/>
          <w:b w:val="0"/>
          <w:color w:val="000000"/>
          <w:sz w:val="24"/>
        </w:rPr>
        <w:t>因此，空气净化不宜只按固定时间表运行。设备需要先识别污染变化，再判断是否值得移动、移动到哪里以及采用何种风量。图1所示的家庭场景素材来自参考文档，用于说明污染源与空间位置之间的关系，而不是替代实测的浓度分布图。</w:t>
      </w:r>
    </w:p>
    <w:p w14:paraId="3919E2E6">
      <w:pPr>
        <w:keepNext/>
        <w:spacing w:before="60" w:after="20" w:line="240" w:lineRule="auto"/>
        <w:jc w:val="center"/>
      </w:pPr>
      <w:r>
        <w:rPr>
          <w:rFonts w:ascii="仿宋_GB2312" w:hAnsi="仿宋_GB2312" w:eastAsia="仿宋_GB2312"/>
          <w:b w:val="0"/>
          <w:color w:val="000000"/>
          <w:sz w:val="24"/>
        </w:rPr>
        <w:drawing>
          <wp:inline distT="0" distB="0" distL="0" distR="0">
            <wp:extent cx="5365115" cy="2145665"/>
            <wp:effectExtent l="0" t="0" r="1460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365115" cy="2145665"/>
                    </a:xfrm>
                    <a:prstGeom prst="rect">
                      <a:avLst/>
                    </a:prstGeom>
                  </pic:spPr>
                </pic:pic>
              </a:graphicData>
            </a:graphic>
          </wp:inline>
        </w:drawing>
      </w:r>
    </w:p>
    <w:p w14:paraId="1E2EEC33">
      <w:pPr>
        <w:pStyle w:val="15"/>
        <w:keepLines/>
        <w:spacing w:before="0" w:after="120"/>
        <w:jc w:val="center"/>
        <w:rPr>
          <w:rFonts w:ascii="仿宋_GB2312" w:hAnsi="仿宋_GB2312" w:eastAsia="仿宋_GB2312"/>
          <w:b w:val="0"/>
          <w:color w:val="000000"/>
          <w:sz w:val="21"/>
        </w:rPr>
      </w:pPr>
      <w:r>
        <w:rPr>
          <w:rFonts w:ascii="仿宋_GB2312" w:hAnsi="仿宋_GB2312" w:eastAsia="仿宋_GB2312"/>
          <w:b w:val="0"/>
          <w:color w:val="000000"/>
          <w:sz w:val="21"/>
        </w:rPr>
        <w:t>图1 家庭空气污染场景与作品背景</w:t>
      </w:r>
      <w:bookmarkStart w:id="5" w:name="_Toc232968927"/>
    </w:p>
    <w:p w14:paraId="0D0F3AF1">
      <w:pPr>
        <w:pStyle w:val="4"/>
        <w:bidi w:val="0"/>
      </w:pPr>
      <w:bookmarkStart w:id="6" w:name="_Toc6157"/>
      <w:r>
        <w:rPr>
          <w:rFonts w:hint="eastAsia"/>
          <w:lang w:val="en-US" w:eastAsia="zh-CN"/>
        </w:rPr>
        <w:t xml:space="preserve">1.2 </w:t>
      </w:r>
      <w:r>
        <w:t>现有空气净化方案的局限</w:t>
      </w:r>
      <w:bookmarkEnd w:id="5"/>
      <w:bookmarkEnd w:id="6"/>
    </w:p>
    <w:p w14:paraId="1C54DDA2">
      <w:pPr>
        <w:ind w:firstLine="420"/>
        <w:jc w:val="both"/>
      </w:pPr>
      <w:r>
        <w:rPr>
          <w:rFonts w:ascii="仿宋_GB2312" w:hAnsi="仿宋_GB2312" w:eastAsia="仿宋_GB2312"/>
          <w:b w:val="0"/>
          <w:color w:val="000000"/>
          <w:sz w:val="24"/>
        </w:rPr>
        <w:t>固定式净化器在单点循环净化中应用广泛，但设备位置一旦确定，跨房间覆盖、贴近污染源处理和按需运行都受到限制。普通移动设备虽然能够改变位置，却未必把空气数据、空间位置和净化策略连接起来。若只增加移动功能，机器人可能在与污染无关的区域消耗电量，也无法向用户解释自己的行动。</w:t>
      </w:r>
    </w:p>
    <w:p w14:paraId="7EC75E86">
      <w:pPr>
        <w:pStyle w:val="4"/>
        <w:numPr>
          <w:ilvl w:val="0"/>
          <w:numId w:val="0"/>
        </w:numPr>
      </w:pPr>
      <w:bookmarkStart w:id="7" w:name="_Toc31280"/>
      <w:bookmarkStart w:id="8" w:name="_Toc232968928"/>
      <w:r>
        <w:rPr>
          <w:rFonts w:hint="eastAsia"/>
          <w:b/>
          <w:color w:val="000000"/>
          <w:sz w:val="28"/>
          <w:lang w:val="en-US" w:eastAsia="zh-CN"/>
        </w:rPr>
        <w:t xml:space="preserve">1.3 </w:t>
      </w:r>
      <w:r>
        <w:rPr>
          <w:rFonts w:ascii="仿宋_GB2312" w:hAnsi="仿宋_GB2312" w:eastAsia="仿宋_GB2312"/>
          <w:b/>
          <w:color w:val="000000"/>
          <w:sz w:val="28"/>
        </w:rPr>
        <w:t>项目目标、适用对象与边界</w:t>
      </w:r>
      <w:bookmarkEnd w:id="7"/>
      <w:bookmarkEnd w:id="8"/>
    </w:p>
    <w:p w14:paraId="5223CA2A">
      <w:pPr>
        <w:ind w:firstLine="420"/>
        <w:jc w:val="both"/>
        <w:rPr>
          <w:rFonts w:ascii="仿宋_GB2312" w:hAnsi="仿宋_GB2312" w:eastAsia="仿宋_GB2312"/>
          <w:b w:val="0"/>
          <w:color w:val="000000"/>
          <w:sz w:val="24"/>
        </w:rPr>
      </w:pPr>
      <w:r>
        <w:rPr>
          <w:rFonts w:ascii="仿宋_GB2312" w:hAnsi="仿宋_GB2312" w:eastAsia="仿宋_GB2312"/>
          <w:b w:val="0"/>
          <w:color w:val="000000"/>
          <w:sz w:val="24"/>
        </w:rPr>
        <w:t>本项目的目标是在家庭、公寓和小型办公空间内，构建能够围绕污染热点开展定点净化的样机。它服务于日常空气维护和局部污染后的辅助处理，不替代开窗通风、污染源控制、燃气安全设备或专业室内环境检测。任何关于实际净化效果的判断均应在明确测试空间、污染物类型、运行模式和采样位置后作出。</w:t>
      </w:r>
      <w:bookmarkStart w:id="9" w:name="_Toc232968929"/>
    </w:p>
    <w:p w14:paraId="390249F7">
      <w:pPr>
        <w:ind w:firstLine="420"/>
        <w:jc w:val="center"/>
        <w:rPr>
          <w:rFonts w:ascii="仿宋_GB2312" w:hAnsi="仿宋_GB2312" w:eastAsia="仿宋_GB2312"/>
          <w:b w:val="0"/>
          <w:bCs w:val="0"/>
          <w:color w:val="000000"/>
          <w:sz w:val="24"/>
        </w:rPr>
      </w:pPr>
      <w:r>
        <w:rPr>
          <w:rFonts w:ascii="仿宋_GB2312" w:hAnsi="仿宋_GB2312" w:eastAsia="仿宋_GB2312"/>
          <w:b w:val="0"/>
          <w:bCs w:val="0"/>
          <w:color w:val="000000"/>
          <w:sz w:val="21"/>
        </w:rPr>
        <w:t>表1 项目目标与验证边界</w:t>
      </w:r>
    </w:p>
    <w:tbl>
      <w:tblPr>
        <w:tblStyle w:val="37"/>
        <w:tblW w:w="0" w:type="auto"/>
        <w:tblInd w:w="1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9"/>
        <w:gridCol w:w="4474"/>
        <w:gridCol w:w="3396"/>
      </w:tblGrid>
      <w:tr w14:paraId="3752D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9" w:type="dxa"/>
            <w:tcBorders>
              <w:top w:val="single" w:color="auto" w:sz="12" w:space="0"/>
              <w:left w:val="nil"/>
              <w:bottom w:val="single" w:color="auto" w:sz="4" w:space="0"/>
              <w:right w:val="nil"/>
            </w:tcBorders>
          </w:tcPr>
          <w:p w14:paraId="231CF5CB">
            <w:pPr>
              <w:jc w:val="both"/>
              <w:rPr>
                <w:rFonts w:ascii="仿宋_GB2312" w:hAnsi="仿宋_GB2312" w:eastAsia="仿宋_GB2312"/>
                <w:b/>
                <w:bCs/>
                <w:color w:val="000000"/>
                <w:sz w:val="24"/>
                <w:vertAlign w:val="baseline"/>
              </w:rPr>
            </w:pPr>
            <w:r>
              <w:rPr>
                <w:rFonts w:ascii="仿宋_GB2312" w:hAnsi="仿宋_GB2312" w:eastAsia="仿宋_GB2312"/>
                <w:b/>
                <w:bCs/>
                <w:color w:val="000000"/>
                <w:sz w:val="24"/>
              </w:rPr>
              <w:t>设计目标</w:t>
            </w:r>
          </w:p>
        </w:tc>
        <w:tc>
          <w:tcPr>
            <w:tcW w:w="4474" w:type="dxa"/>
            <w:tcBorders>
              <w:top w:val="single" w:color="auto" w:sz="12" w:space="0"/>
              <w:left w:val="nil"/>
              <w:bottom w:val="single" w:color="auto" w:sz="4" w:space="0"/>
              <w:right w:val="nil"/>
            </w:tcBorders>
          </w:tcPr>
          <w:p w14:paraId="6A0DFD74">
            <w:pPr>
              <w:jc w:val="left"/>
              <w:rPr>
                <w:rFonts w:ascii="仿宋_GB2312" w:hAnsi="仿宋_GB2312" w:eastAsia="仿宋_GB2312"/>
                <w:b/>
                <w:bCs/>
                <w:color w:val="000000"/>
                <w:sz w:val="24"/>
                <w:vertAlign w:val="baseline"/>
              </w:rPr>
            </w:pPr>
            <w:r>
              <w:rPr>
                <w:rFonts w:ascii="仿宋_GB2312" w:hAnsi="仿宋_GB2312" w:eastAsia="仿宋_GB2312"/>
                <w:b/>
                <w:bCs/>
                <w:color w:val="000000"/>
                <w:sz w:val="24"/>
              </w:rPr>
              <w:t>实现方式</w:t>
            </w:r>
          </w:p>
        </w:tc>
        <w:tc>
          <w:tcPr>
            <w:tcW w:w="3396" w:type="dxa"/>
            <w:tcBorders>
              <w:top w:val="single" w:color="auto" w:sz="12" w:space="0"/>
              <w:left w:val="nil"/>
              <w:bottom w:val="single" w:color="auto" w:sz="4" w:space="0"/>
              <w:right w:val="nil"/>
            </w:tcBorders>
          </w:tcPr>
          <w:p w14:paraId="4E9FA153">
            <w:pPr>
              <w:jc w:val="both"/>
              <w:rPr>
                <w:rFonts w:ascii="仿宋_GB2312" w:hAnsi="仿宋_GB2312" w:eastAsia="仿宋_GB2312"/>
                <w:b/>
                <w:bCs/>
                <w:color w:val="000000"/>
                <w:sz w:val="24"/>
                <w:vertAlign w:val="baseline"/>
              </w:rPr>
            </w:pPr>
            <w:r>
              <w:rPr>
                <w:rFonts w:ascii="仿宋_GB2312" w:hAnsi="仿宋_GB2312" w:eastAsia="仿宋_GB2312"/>
                <w:b/>
                <w:bCs/>
                <w:color w:val="000000"/>
                <w:sz w:val="24"/>
              </w:rPr>
              <w:t>验证边界</w:t>
            </w:r>
          </w:p>
        </w:tc>
      </w:tr>
      <w:tr w14:paraId="4D7B2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9" w:type="dxa"/>
            <w:tcBorders>
              <w:top w:val="single" w:color="auto" w:sz="4" w:space="0"/>
              <w:left w:val="nil"/>
              <w:bottom w:val="nil"/>
              <w:right w:val="nil"/>
            </w:tcBorders>
          </w:tcPr>
          <w:p w14:paraId="10E234D0">
            <w:pPr>
              <w:jc w:val="both"/>
              <w:rPr>
                <w:rFonts w:ascii="仿宋_GB2312" w:hAnsi="仿宋_GB2312" w:eastAsia="仿宋_GB2312"/>
                <w:b w:val="0"/>
                <w:color w:val="000000"/>
                <w:sz w:val="24"/>
                <w:vertAlign w:val="baseline"/>
              </w:rPr>
            </w:pPr>
            <w:r>
              <w:rPr>
                <w:rFonts w:ascii="仿宋_GB2312" w:hAnsi="仿宋_GB2312" w:eastAsia="仿宋_GB2312"/>
                <w:b w:val="0"/>
                <w:color w:val="000000"/>
                <w:sz w:val="24"/>
              </w:rPr>
              <w:t>主动服务</w:t>
            </w:r>
          </w:p>
        </w:tc>
        <w:tc>
          <w:tcPr>
            <w:tcW w:w="4474" w:type="dxa"/>
            <w:tcBorders>
              <w:top w:val="single" w:color="auto" w:sz="4" w:space="0"/>
              <w:left w:val="nil"/>
              <w:bottom w:val="nil"/>
              <w:right w:val="nil"/>
            </w:tcBorders>
          </w:tcPr>
          <w:p w14:paraId="5A3753E6">
            <w:pPr>
              <w:jc w:val="both"/>
              <w:rPr>
                <w:rFonts w:ascii="仿宋_GB2312" w:hAnsi="仿宋_GB2312" w:eastAsia="仿宋_GB2312"/>
                <w:b w:val="0"/>
                <w:color w:val="000000"/>
                <w:sz w:val="24"/>
                <w:vertAlign w:val="baseline"/>
              </w:rPr>
            </w:pPr>
            <w:r>
              <w:rPr>
                <w:rFonts w:ascii="仿宋_GB2312" w:hAnsi="仿宋_GB2312" w:eastAsia="仿宋_GB2312"/>
                <w:b w:val="0"/>
                <w:color w:val="000000"/>
                <w:sz w:val="24"/>
              </w:rPr>
              <w:t>根据热点和可达性选择目标区域</w:t>
            </w:r>
          </w:p>
        </w:tc>
        <w:tc>
          <w:tcPr>
            <w:tcW w:w="3396" w:type="dxa"/>
            <w:tcBorders>
              <w:top w:val="single" w:color="auto" w:sz="4" w:space="0"/>
              <w:left w:val="nil"/>
              <w:bottom w:val="nil"/>
              <w:right w:val="nil"/>
            </w:tcBorders>
          </w:tcPr>
          <w:p w14:paraId="3035CB41">
            <w:pPr>
              <w:jc w:val="both"/>
              <w:rPr>
                <w:rFonts w:ascii="仿宋_GB2312" w:hAnsi="仿宋_GB2312" w:eastAsia="仿宋_GB2312"/>
                <w:b w:val="0"/>
                <w:color w:val="000000"/>
                <w:sz w:val="24"/>
                <w:vertAlign w:val="baseline"/>
              </w:rPr>
            </w:pPr>
            <w:r>
              <w:rPr>
                <w:rFonts w:ascii="仿宋_GB2312" w:hAnsi="仿宋_GB2312" w:eastAsia="仿宋_GB2312"/>
                <w:b w:val="0"/>
                <w:color w:val="000000"/>
                <w:sz w:val="24"/>
              </w:rPr>
              <w:t>热点识别、到点率和任务记录</w:t>
            </w:r>
          </w:p>
        </w:tc>
      </w:tr>
      <w:tr w14:paraId="57A9C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9" w:type="dxa"/>
            <w:tcBorders>
              <w:top w:val="nil"/>
              <w:left w:val="nil"/>
              <w:bottom w:val="nil"/>
              <w:right w:val="nil"/>
            </w:tcBorders>
          </w:tcPr>
          <w:p w14:paraId="794E37DD">
            <w:pPr>
              <w:jc w:val="both"/>
              <w:rPr>
                <w:rFonts w:ascii="仿宋_GB2312" w:hAnsi="仿宋_GB2312" w:eastAsia="仿宋_GB2312"/>
                <w:b w:val="0"/>
                <w:color w:val="000000"/>
                <w:sz w:val="24"/>
                <w:vertAlign w:val="baseline"/>
              </w:rPr>
            </w:pPr>
            <w:r>
              <w:rPr>
                <w:rFonts w:ascii="仿宋_GB2312" w:hAnsi="仿宋_GB2312" w:eastAsia="仿宋_GB2312"/>
                <w:b w:val="0"/>
                <w:color w:val="000000"/>
                <w:sz w:val="24"/>
              </w:rPr>
              <w:t>净化能力</w:t>
            </w:r>
          </w:p>
        </w:tc>
        <w:tc>
          <w:tcPr>
            <w:tcW w:w="4474" w:type="dxa"/>
            <w:tcBorders>
              <w:top w:val="nil"/>
              <w:left w:val="nil"/>
              <w:bottom w:val="nil"/>
              <w:right w:val="nil"/>
            </w:tcBorders>
          </w:tcPr>
          <w:p w14:paraId="417E4B8F">
            <w:pPr>
              <w:jc w:val="both"/>
              <w:rPr>
                <w:rFonts w:ascii="仿宋_GB2312" w:hAnsi="仿宋_GB2312" w:eastAsia="仿宋_GB2312"/>
                <w:b w:val="0"/>
                <w:color w:val="000000"/>
                <w:sz w:val="24"/>
                <w:vertAlign w:val="baseline"/>
              </w:rPr>
            </w:pPr>
            <w:r>
              <w:rPr>
                <w:rFonts w:ascii="仿宋_GB2312" w:hAnsi="仿宋_GB2312" w:eastAsia="仿宋_GB2312"/>
                <w:b w:val="0"/>
                <w:color w:val="000000"/>
                <w:sz w:val="24"/>
              </w:rPr>
              <w:t>复合滤芯与低位进风风道协同</w:t>
            </w:r>
          </w:p>
        </w:tc>
        <w:tc>
          <w:tcPr>
            <w:tcW w:w="3396" w:type="dxa"/>
            <w:tcBorders>
              <w:top w:val="nil"/>
              <w:left w:val="nil"/>
              <w:bottom w:val="nil"/>
              <w:right w:val="nil"/>
            </w:tcBorders>
            <w:shd w:val="clear" w:color="auto" w:fill="auto"/>
            <w:vAlign w:val="center"/>
          </w:tcPr>
          <w:p w14:paraId="1E94463D">
            <w:pPr>
              <w:keepLines/>
              <w:rPr>
                <w:rFonts w:ascii="仿宋_GB2312" w:hAnsi="仿宋_GB2312" w:eastAsia="仿宋_GB2312" w:cstheme="minorBidi"/>
                <w:b w:val="0"/>
                <w:color w:val="000000"/>
                <w:sz w:val="24"/>
                <w:szCs w:val="22"/>
                <w:lang w:val="en-US" w:eastAsia="en-US" w:bidi="ar-SA"/>
              </w:rPr>
            </w:pPr>
            <w:r>
              <w:rPr>
                <w:rFonts w:ascii="仿宋_GB2312" w:hAnsi="仿宋_GB2312" w:eastAsia="仿宋_GB2312"/>
                <w:b w:val="0"/>
                <w:color w:val="000000"/>
                <w:sz w:val="24"/>
              </w:rPr>
              <w:t>效率、压降和衰减测试</w:t>
            </w:r>
          </w:p>
        </w:tc>
      </w:tr>
      <w:tr w14:paraId="4FDAE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9" w:type="dxa"/>
            <w:tcBorders>
              <w:top w:val="nil"/>
              <w:left w:val="nil"/>
              <w:bottom w:val="nil"/>
              <w:right w:val="nil"/>
            </w:tcBorders>
          </w:tcPr>
          <w:p w14:paraId="3D5EC4A6">
            <w:pPr>
              <w:jc w:val="both"/>
              <w:rPr>
                <w:rFonts w:ascii="仿宋_GB2312" w:hAnsi="仿宋_GB2312" w:eastAsia="仿宋_GB2312"/>
                <w:b w:val="0"/>
                <w:color w:val="000000"/>
                <w:sz w:val="24"/>
                <w:vertAlign w:val="baseline"/>
              </w:rPr>
            </w:pPr>
            <w:r>
              <w:rPr>
                <w:rFonts w:ascii="仿宋_GB2312" w:hAnsi="仿宋_GB2312" w:eastAsia="仿宋_GB2312"/>
                <w:b w:val="0"/>
                <w:color w:val="000000"/>
                <w:sz w:val="24"/>
              </w:rPr>
              <w:t>家居适配</w:t>
            </w:r>
          </w:p>
        </w:tc>
        <w:tc>
          <w:tcPr>
            <w:tcW w:w="4474" w:type="dxa"/>
            <w:tcBorders>
              <w:top w:val="nil"/>
              <w:left w:val="nil"/>
              <w:bottom w:val="nil"/>
              <w:right w:val="nil"/>
            </w:tcBorders>
          </w:tcPr>
          <w:p w14:paraId="200F11D8">
            <w:pPr>
              <w:jc w:val="both"/>
              <w:rPr>
                <w:rFonts w:ascii="仿宋_GB2312" w:hAnsi="仿宋_GB2312" w:eastAsia="仿宋_GB2312"/>
                <w:b w:val="0"/>
                <w:color w:val="000000"/>
                <w:sz w:val="24"/>
                <w:vertAlign w:val="baseline"/>
              </w:rPr>
            </w:pPr>
            <w:r>
              <w:rPr>
                <w:rFonts w:ascii="仿宋_GB2312" w:hAnsi="仿宋_GB2312" w:eastAsia="仿宋_GB2312"/>
                <w:b w:val="0"/>
                <w:color w:val="000000"/>
                <w:sz w:val="24"/>
              </w:rPr>
              <w:t>低速移动、柔和出风和可维护结构</w:t>
            </w:r>
          </w:p>
        </w:tc>
        <w:tc>
          <w:tcPr>
            <w:tcW w:w="3396" w:type="dxa"/>
            <w:tcBorders>
              <w:top w:val="nil"/>
              <w:left w:val="nil"/>
              <w:bottom w:val="nil"/>
              <w:right w:val="nil"/>
            </w:tcBorders>
          </w:tcPr>
          <w:p w14:paraId="062407F9">
            <w:pPr>
              <w:jc w:val="both"/>
              <w:rPr>
                <w:rFonts w:ascii="仿宋_GB2312" w:hAnsi="仿宋_GB2312" w:eastAsia="仿宋_GB2312"/>
                <w:b w:val="0"/>
                <w:color w:val="000000"/>
                <w:sz w:val="24"/>
                <w:vertAlign w:val="baseline"/>
              </w:rPr>
            </w:pPr>
            <w:r>
              <w:rPr>
                <w:rFonts w:ascii="仿宋_GB2312" w:hAnsi="仿宋_GB2312" w:eastAsia="仿宋_GB2312"/>
                <w:b w:val="0"/>
                <w:color w:val="000000"/>
                <w:sz w:val="24"/>
              </w:rPr>
              <w:t>避障、防倾覆与交互安全</w:t>
            </w:r>
          </w:p>
        </w:tc>
      </w:tr>
      <w:tr w14:paraId="29D7C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9" w:type="dxa"/>
            <w:tcBorders>
              <w:top w:val="nil"/>
              <w:left w:val="nil"/>
              <w:bottom w:val="single" w:color="auto" w:sz="12" w:space="0"/>
              <w:right w:val="nil"/>
            </w:tcBorders>
          </w:tcPr>
          <w:p w14:paraId="2B77E8E0">
            <w:pPr>
              <w:jc w:val="both"/>
              <w:rPr>
                <w:rFonts w:ascii="仿宋_GB2312" w:hAnsi="仿宋_GB2312" w:eastAsia="仿宋_GB2312"/>
                <w:b w:val="0"/>
                <w:color w:val="000000"/>
                <w:sz w:val="24"/>
                <w:vertAlign w:val="baseline"/>
              </w:rPr>
            </w:pPr>
            <w:r>
              <w:rPr>
                <w:rFonts w:ascii="仿宋_GB2312" w:hAnsi="仿宋_GB2312" w:eastAsia="仿宋_GB2312"/>
                <w:b w:val="0"/>
                <w:color w:val="000000"/>
                <w:sz w:val="24"/>
              </w:rPr>
              <w:t>按需运行</w:t>
            </w:r>
          </w:p>
        </w:tc>
        <w:tc>
          <w:tcPr>
            <w:tcW w:w="4474" w:type="dxa"/>
            <w:tcBorders>
              <w:top w:val="nil"/>
              <w:left w:val="nil"/>
              <w:bottom w:val="single" w:color="auto" w:sz="12" w:space="0"/>
              <w:right w:val="nil"/>
            </w:tcBorders>
          </w:tcPr>
          <w:p w14:paraId="7346099E">
            <w:pPr>
              <w:jc w:val="both"/>
              <w:rPr>
                <w:rFonts w:ascii="仿宋_GB2312" w:hAnsi="仿宋_GB2312" w:eastAsia="仿宋_GB2312"/>
                <w:b w:val="0"/>
                <w:color w:val="000000"/>
                <w:sz w:val="24"/>
                <w:vertAlign w:val="baseline"/>
              </w:rPr>
            </w:pPr>
            <w:r>
              <w:rPr>
                <w:rFonts w:ascii="仿宋_GB2312" w:hAnsi="仿宋_GB2312" w:eastAsia="仿宋_GB2312"/>
                <w:b w:val="0"/>
                <w:color w:val="000000"/>
                <w:sz w:val="24"/>
              </w:rPr>
              <w:t>风机分档与任务优先级</w:t>
            </w:r>
          </w:p>
        </w:tc>
        <w:tc>
          <w:tcPr>
            <w:tcW w:w="3396" w:type="dxa"/>
            <w:tcBorders>
              <w:top w:val="nil"/>
              <w:left w:val="nil"/>
              <w:bottom w:val="single" w:color="auto" w:sz="12" w:space="0"/>
              <w:right w:val="nil"/>
            </w:tcBorders>
          </w:tcPr>
          <w:p w14:paraId="3C178D7B">
            <w:pPr>
              <w:jc w:val="both"/>
              <w:rPr>
                <w:rFonts w:ascii="仿宋_GB2312" w:hAnsi="仿宋_GB2312" w:eastAsia="仿宋_GB2312"/>
                <w:b w:val="0"/>
                <w:color w:val="000000"/>
                <w:sz w:val="24"/>
                <w:vertAlign w:val="baseline"/>
              </w:rPr>
            </w:pPr>
            <w:r>
              <w:rPr>
                <w:rFonts w:ascii="仿宋_GB2312" w:hAnsi="仿宋_GB2312" w:eastAsia="仿宋_GB2312"/>
                <w:b w:val="0"/>
                <w:color w:val="000000"/>
                <w:sz w:val="24"/>
              </w:rPr>
              <w:t>同等任务目标下的能耗比较</w:t>
            </w:r>
          </w:p>
        </w:tc>
      </w:tr>
    </w:tbl>
    <w:p w14:paraId="259AFAF0">
      <w:pPr>
        <w:ind w:firstLine="420"/>
        <w:jc w:val="both"/>
        <w:rPr>
          <w:rFonts w:ascii="仿宋_GB2312" w:hAnsi="仿宋_GB2312" w:eastAsia="仿宋_GB2312"/>
          <w:b w:val="0"/>
          <w:color w:val="000000"/>
          <w:sz w:val="24"/>
        </w:rPr>
      </w:pPr>
    </w:p>
    <w:p w14:paraId="366B2AE5">
      <w:pPr>
        <w:pStyle w:val="3"/>
        <w:bidi w:val="0"/>
      </w:pPr>
      <w:bookmarkStart w:id="10" w:name="_Toc17333"/>
      <w:r>
        <w:rPr>
          <w:rFonts w:hint="eastAsia"/>
          <w:lang w:val="en-US" w:eastAsia="zh-CN"/>
        </w:rPr>
        <w:t xml:space="preserve">2 </w:t>
      </w:r>
      <w:r>
        <w:t>设计构思与总体方案</w:t>
      </w:r>
      <w:bookmarkEnd w:id="9"/>
      <w:bookmarkEnd w:id="10"/>
    </w:p>
    <w:p w14:paraId="4859726D">
      <w:pPr>
        <w:pStyle w:val="4"/>
        <w:numPr>
          <w:ilvl w:val="0"/>
          <w:numId w:val="0"/>
        </w:numPr>
      </w:pPr>
      <w:bookmarkStart w:id="11" w:name="_Toc6282"/>
      <w:bookmarkStart w:id="12" w:name="_Toc232968930"/>
      <w:r>
        <w:rPr>
          <w:rFonts w:hint="eastAsia"/>
          <w:b/>
          <w:color w:val="000000"/>
          <w:sz w:val="28"/>
          <w:lang w:val="en-US" w:eastAsia="zh-CN"/>
        </w:rPr>
        <w:t xml:space="preserve">2.1 </w:t>
      </w:r>
      <w:r>
        <w:rPr>
          <w:rFonts w:ascii="仿宋_GB2312" w:hAnsi="仿宋_GB2312" w:eastAsia="仿宋_GB2312"/>
          <w:b/>
          <w:color w:val="000000"/>
          <w:sz w:val="28"/>
        </w:rPr>
        <w:t>面向动态污染的移动净化策略</w:t>
      </w:r>
      <w:bookmarkEnd w:id="11"/>
      <w:bookmarkEnd w:id="12"/>
    </w:p>
    <w:p w14:paraId="2A879445">
      <w:pPr>
        <w:ind w:firstLine="420"/>
        <w:jc w:val="both"/>
      </w:pPr>
      <w:r>
        <w:rPr>
          <w:rFonts w:ascii="仿宋_GB2312" w:hAnsi="仿宋_GB2312" w:eastAsia="仿宋_GB2312"/>
          <w:b w:val="0"/>
          <w:color w:val="000000"/>
          <w:sz w:val="24"/>
        </w:rPr>
        <w:t>方案的出发点不是把空气净化器安装到移动底盘上，而是让移动成为空气处理策略的一部分。系统将空气参数与采样位置关联，依据污染程度、变化趋势、房间属性、电量和用户设置生成任务优先级；机器人在可达且安全的前提下进入目标区域，随后按模式调节风机。</w:t>
      </w:r>
    </w:p>
    <w:p w14:paraId="2E4FD849">
      <w:pPr>
        <w:pStyle w:val="4"/>
        <w:numPr>
          <w:ilvl w:val="0"/>
          <w:numId w:val="0"/>
        </w:numPr>
      </w:pPr>
      <w:bookmarkStart w:id="13" w:name="_Toc16973"/>
      <w:bookmarkStart w:id="14" w:name="_Toc232968931"/>
      <w:r>
        <w:rPr>
          <w:rFonts w:hint="eastAsia"/>
          <w:b/>
          <w:color w:val="000000"/>
          <w:sz w:val="28"/>
          <w:lang w:val="en-US" w:eastAsia="zh-CN"/>
        </w:rPr>
        <w:t xml:space="preserve">2.2 </w:t>
      </w:r>
      <w:r>
        <w:rPr>
          <w:rFonts w:ascii="仿宋_GB2312" w:hAnsi="仿宋_GB2312" w:eastAsia="仿宋_GB2312"/>
          <w:b/>
          <w:color w:val="000000"/>
          <w:sz w:val="28"/>
        </w:rPr>
        <w:t>感知—判断—移动—净化—反馈工作闭环</w:t>
      </w:r>
      <w:bookmarkEnd w:id="13"/>
      <w:bookmarkEnd w:id="14"/>
    </w:p>
    <w:p w14:paraId="48292B5B">
      <w:pPr>
        <w:ind w:firstLine="420"/>
        <w:jc w:val="both"/>
      </w:pPr>
      <w:r>
        <w:rPr>
          <w:rFonts w:ascii="仿宋_GB2312" w:hAnsi="仿宋_GB2312" w:eastAsia="仿宋_GB2312"/>
          <w:b w:val="0"/>
          <w:color w:val="000000"/>
          <w:sz w:val="24"/>
        </w:rPr>
        <w:t>感知层连续采集 PM2.5、VOCs、CO₂、温湿度及必要的空间信息；判断层对数据进行时间平滑和区域归并；移动层根据地图和障碍物信息规划低速路线；净化层以风量、滤芯状态和任务时长执行作业；反馈层向用户呈现空气状态、任务原因和维护提示。任务结束后，新的采样数据回到判断层，决定是否继续、换位或停止。</w:t>
      </w:r>
    </w:p>
    <w:p w14:paraId="6E711CCB">
      <w:pPr>
        <w:keepNext/>
        <w:spacing w:before="60" w:after="20" w:line="240" w:lineRule="auto"/>
        <w:jc w:val="center"/>
      </w:pPr>
      <w:r>
        <w:rPr>
          <w:rFonts w:ascii="仿宋_GB2312" w:hAnsi="仿宋_GB2312" w:eastAsia="仿宋_GB2312"/>
          <w:b w:val="0"/>
          <w:color w:val="000000"/>
          <w:sz w:val="24"/>
        </w:rPr>
        <w:drawing>
          <wp:inline distT="0" distB="0" distL="0" distR="0">
            <wp:extent cx="6417310" cy="2453005"/>
            <wp:effectExtent l="0" t="0" r="1397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6417310" cy="2453005"/>
                    </a:xfrm>
                    <a:prstGeom prst="rect">
                      <a:avLst/>
                    </a:prstGeom>
                  </pic:spPr>
                </pic:pic>
              </a:graphicData>
            </a:graphic>
          </wp:inline>
        </w:drawing>
      </w:r>
    </w:p>
    <w:p w14:paraId="046A96AE">
      <w:pPr>
        <w:pStyle w:val="15"/>
        <w:keepLines/>
        <w:spacing w:before="0" w:after="120"/>
        <w:jc w:val="center"/>
      </w:pPr>
      <w:r>
        <w:rPr>
          <w:rFonts w:ascii="仿宋_GB2312" w:hAnsi="仿宋_GB2312" w:eastAsia="仿宋_GB2312"/>
          <w:b w:val="0"/>
          <w:color w:val="000000"/>
          <w:sz w:val="21"/>
        </w:rPr>
        <w:t>图2 主动空气治理工作闭环</w:t>
      </w:r>
    </w:p>
    <w:p w14:paraId="0823394D">
      <w:pPr>
        <w:ind w:firstLine="420"/>
        <w:jc w:val="both"/>
      </w:pPr>
      <w:r>
        <w:rPr>
          <w:rFonts w:ascii="仿宋_GB2312" w:hAnsi="仿宋_GB2312" w:eastAsia="仿宋_GB2312"/>
          <w:b w:val="0"/>
          <w:color w:val="000000"/>
          <w:sz w:val="24"/>
        </w:rPr>
        <w:t>图3把闭环进一步落实为技术路线：空气数据、空间数据和用户指令在决策层汇合，随后分别传给底盘、风机和交互模块。这样安排的目的，是让每一项动作都能回溯到前面的环境信息，而不是只展示一张流程图。</w:t>
      </w:r>
    </w:p>
    <w:p w14:paraId="4A59F944">
      <w:pPr>
        <w:keepNext/>
        <w:spacing w:before="60" w:after="20" w:line="240" w:lineRule="auto"/>
        <w:jc w:val="center"/>
      </w:pPr>
      <w:r>
        <w:rPr>
          <w:rFonts w:ascii="仿宋_GB2312" w:hAnsi="仿宋_GB2312" w:eastAsia="仿宋_GB2312"/>
          <w:b w:val="0"/>
          <w:color w:val="000000"/>
          <w:sz w:val="24"/>
        </w:rPr>
        <w:drawing>
          <wp:inline distT="0" distB="0" distL="0" distR="0">
            <wp:extent cx="5704205" cy="3003550"/>
            <wp:effectExtent l="0" t="0" r="10795"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704205" cy="3003550"/>
                    </a:xfrm>
                    <a:prstGeom prst="rect">
                      <a:avLst/>
                    </a:prstGeom>
                  </pic:spPr>
                </pic:pic>
              </a:graphicData>
            </a:graphic>
          </wp:inline>
        </w:drawing>
      </w:r>
    </w:p>
    <w:p w14:paraId="78BC8BAD">
      <w:pPr>
        <w:pStyle w:val="15"/>
        <w:keepLines/>
        <w:spacing w:before="0" w:after="120"/>
        <w:jc w:val="center"/>
      </w:pPr>
      <w:r>
        <w:rPr>
          <w:rFonts w:ascii="仿宋_GB2312" w:hAnsi="仿宋_GB2312" w:eastAsia="仿宋_GB2312"/>
          <w:b w:val="0"/>
          <w:color w:val="000000"/>
          <w:sz w:val="21"/>
        </w:rPr>
        <w:t>图3 从环境信息到执行模块的技术路线</w:t>
      </w:r>
    </w:p>
    <w:p w14:paraId="74477437">
      <w:pPr>
        <w:pStyle w:val="4"/>
        <w:numPr>
          <w:ilvl w:val="0"/>
          <w:numId w:val="0"/>
        </w:numPr>
      </w:pPr>
      <w:bookmarkStart w:id="15" w:name="_Toc22253"/>
      <w:bookmarkStart w:id="16" w:name="_Toc232968932"/>
      <w:r>
        <w:rPr>
          <w:rFonts w:hint="eastAsia"/>
          <w:b/>
          <w:color w:val="000000"/>
          <w:sz w:val="28"/>
          <w:lang w:val="en-US" w:eastAsia="zh-CN"/>
        </w:rPr>
        <w:t>2.3</w:t>
      </w:r>
      <w:r>
        <w:rPr>
          <w:rFonts w:ascii="仿宋_GB2312" w:hAnsi="仿宋_GB2312" w:eastAsia="仿宋_GB2312"/>
          <w:b/>
          <w:color w:val="000000"/>
          <w:sz w:val="28"/>
        </w:rPr>
        <w:t>整机总体结构与模块分工</w:t>
      </w:r>
      <w:bookmarkEnd w:id="15"/>
      <w:bookmarkEnd w:id="16"/>
    </w:p>
    <w:p w14:paraId="7442524C">
      <w:pPr>
        <w:ind w:firstLine="420"/>
        <w:jc w:val="both"/>
      </w:pPr>
      <w:r>
        <w:rPr>
          <w:rFonts w:ascii="仿宋_GB2312" w:hAnsi="仿宋_GB2312" w:eastAsia="仿宋_GB2312"/>
          <w:b w:val="0"/>
          <w:color w:val="000000"/>
          <w:sz w:val="24"/>
        </w:rPr>
        <w:t>整机采用“下部运动、中部净化、上部感知交互”的塔式布局。三轮全向底盘承担低速移动和局部横移；中部圆柱形滤芯、进风网罩和风机形成净化通路；上部集成雷达、空气传感器、计算单元、通信模块与环形提示灯。按功能分层能够降低布线和维护的相互干扰，也为后续模块替换保留空间。</w:t>
      </w:r>
    </w:p>
    <w:p w14:paraId="2F5C123D">
      <w:pPr>
        <w:keepNext/>
        <w:spacing w:before="60" w:after="0" w:afterAutospacing="0" w:line="240" w:lineRule="auto"/>
        <w:jc w:val="both"/>
        <w:rPr>
          <w:rFonts w:hint="eastAsia" w:eastAsia="仿宋_GB2312"/>
          <w:lang w:eastAsia="zh-CN"/>
        </w:rPr>
      </w:pPr>
      <w:r>
        <w:rPr>
          <w:rFonts w:hint="eastAsia"/>
          <w:b w:val="0"/>
          <w:color w:val="000000"/>
          <w:sz w:val="24"/>
          <w:lang w:val="en-US" w:eastAsia="zh-CN"/>
        </w:rPr>
        <w:t xml:space="preserve">         </w:t>
      </w:r>
      <w:r>
        <w:rPr>
          <w:rFonts w:ascii="仿宋_GB2312" w:hAnsi="仿宋_GB2312" w:eastAsia="仿宋_GB2312"/>
          <w:b w:val="0"/>
          <w:color w:val="000000"/>
          <w:sz w:val="24"/>
        </w:rPr>
        <w:drawing>
          <wp:inline distT="0" distB="0" distL="0" distR="0">
            <wp:extent cx="2245995" cy="2879725"/>
            <wp:effectExtent l="0" t="0" r="952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2245995" cy="2879725"/>
                    </a:xfrm>
                    <a:prstGeom prst="rect">
                      <a:avLst/>
                    </a:prstGeom>
                  </pic:spPr>
                </pic:pic>
              </a:graphicData>
            </a:graphic>
          </wp:inline>
        </w:drawing>
      </w:r>
      <w:r>
        <w:rPr>
          <w:rFonts w:hint="eastAsia" w:eastAsia="仿宋_GB2312"/>
          <w:lang w:eastAsia="zh-CN"/>
        </w:rPr>
        <w:drawing>
          <wp:inline distT="0" distB="0" distL="114300" distR="114300">
            <wp:extent cx="3206750" cy="2428240"/>
            <wp:effectExtent l="0" t="0" r="8890" b="10160"/>
            <wp:docPr id="17" name="图片 17" descr="全向底盘布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全向底盘布局"/>
                    <pic:cNvPicPr>
                      <a:picLocks noChangeAspect="1"/>
                    </pic:cNvPicPr>
                  </pic:nvPicPr>
                  <pic:blipFill>
                    <a:blip r:embed="rId16"/>
                    <a:stretch>
                      <a:fillRect/>
                    </a:stretch>
                  </pic:blipFill>
                  <pic:spPr>
                    <a:xfrm>
                      <a:off x="0" y="0"/>
                      <a:ext cx="3206750" cy="2428240"/>
                    </a:xfrm>
                    <a:prstGeom prst="rect">
                      <a:avLst/>
                    </a:prstGeom>
                  </pic:spPr>
                </pic:pic>
              </a:graphicData>
            </a:graphic>
          </wp:inline>
        </w:drawing>
      </w:r>
    </w:p>
    <w:p w14:paraId="743244C6">
      <w:pPr>
        <w:pStyle w:val="15"/>
        <w:keepLines/>
        <w:spacing w:before="543" w:beforeLines="150" w:beforeAutospacing="0" w:after="120"/>
        <w:jc w:val="center"/>
        <w:rPr>
          <w:rFonts w:ascii="仿宋_GB2312" w:hAnsi="仿宋_GB2312" w:eastAsia="仿宋_GB2312"/>
          <w:b w:val="0"/>
          <w:color w:val="000000"/>
          <w:sz w:val="21"/>
        </w:rPr>
      </w:pPr>
      <w:r>
        <w:rPr>
          <w:rFonts w:ascii="仿宋_GB2312" w:hAnsi="仿宋_GB2312" w:eastAsia="仿宋_GB2312"/>
          <w:b w:val="0"/>
          <w:color w:val="000000"/>
          <w:sz w:val="21"/>
        </w:rPr>
        <w:t>图4 样机总体结构与部件布局</w:t>
      </w:r>
      <w:bookmarkStart w:id="17" w:name="_Toc232968933"/>
    </w:p>
    <w:p w14:paraId="6F96A3F0">
      <w:pPr>
        <w:bidi w:val="0"/>
        <w:rPr>
          <w:rFonts w:hint="eastAsia"/>
          <w:lang w:val="en-US" w:eastAsia="zh-CN"/>
        </w:rPr>
      </w:pPr>
    </w:p>
    <w:p w14:paraId="21BD4888">
      <w:pPr>
        <w:bidi w:val="0"/>
        <w:rPr>
          <w:rFonts w:hint="eastAsia"/>
          <w:lang w:val="en-US" w:eastAsia="zh-CN"/>
        </w:rPr>
      </w:pPr>
    </w:p>
    <w:p w14:paraId="5C6618F6">
      <w:pPr>
        <w:bidi w:val="0"/>
        <w:rPr>
          <w:rFonts w:hint="eastAsia"/>
          <w:lang w:val="en-US" w:eastAsia="zh-CN"/>
        </w:rPr>
      </w:pPr>
    </w:p>
    <w:p w14:paraId="7E01D42E">
      <w:pPr>
        <w:bidi w:val="0"/>
        <w:rPr>
          <w:rFonts w:hint="eastAsia"/>
          <w:lang w:val="en-US" w:eastAsia="zh-CN"/>
        </w:rPr>
      </w:pPr>
    </w:p>
    <w:p w14:paraId="61F01FE0">
      <w:pPr>
        <w:bidi w:val="0"/>
        <w:rPr>
          <w:rFonts w:hint="eastAsia"/>
          <w:lang w:val="en-US" w:eastAsia="zh-CN"/>
        </w:rPr>
      </w:pPr>
    </w:p>
    <w:p w14:paraId="39BF0729">
      <w:pPr>
        <w:bidi w:val="0"/>
        <w:rPr>
          <w:rFonts w:hint="eastAsia"/>
          <w:lang w:val="en-US" w:eastAsia="zh-CN"/>
        </w:rPr>
      </w:pPr>
    </w:p>
    <w:p w14:paraId="71B4BC2F">
      <w:pPr>
        <w:bidi w:val="0"/>
        <w:rPr>
          <w:rFonts w:hint="eastAsia"/>
          <w:lang w:val="en-US" w:eastAsia="zh-CN"/>
        </w:rPr>
      </w:pPr>
    </w:p>
    <w:p w14:paraId="77A353FB">
      <w:pPr>
        <w:bidi w:val="0"/>
        <w:rPr>
          <w:rFonts w:hint="eastAsia"/>
          <w:lang w:val="en-US" w:eastAsia="zh-CN"/>
        </w:rPr>
      </w:pPr>
    </w:p>
    <w:p w14:paraId="4B293DD8">
      <w:pPr>
        <w:bidi w:val="0"/>
        <w:rPr>
          <w:rFonts w:hint="eastAsia"/>
          <w:lang w:val="en-US" w:eastAsia="zh-CN"/>
        </w:rPr>
      </w:pPr>
    </w:p>
    <w:p w14:paraId="4C01BD4B">
      <w:pPr>
        <w:pStyle w:val="3"/>
        <w:bidi w:val="0"/>
      </w:pPr>
      <w:bookmarkStart w:id="18" w:name="_Toc840"/>
      <w:r>
        <w:rPr>
          <w:rFonts w:hint="eastAsia"/>
          <w:lang w:val="en-US" w:eastAsia="zh-CN"/>
        </w:rPr>
        <w:t xml:space="preserve">3 </w:t>
      </w:r>
      <w:r>
        <w:t>关键技术与工程设计</w:t>
      </w:r>
      <w:bookmarkEnd w:id="17"/>
      <w:bookmarkEnd w:id="18"/>
    </w:p>
    <w:p w14:paraId="79C7C015">
      <w:pPr>
        <w:pStyle w:val="4"/>
        <w:numPr>
          <w:ilvl w:val="0"/>
          <w:numId w:val="0"/>
        </w:numPr>
      </w:pPr>
      <w:bookmarkStart w:id="19" w:name="_Toc232968934"/>
      <w:bookmarkStart w:id="20" w:name="_Toc8120"/>
      <w:r>
        <w:rPr>
          <w:rFonts w:hint="eastAsia"/>
          <w:b/>
          <w:color w:val="000000"/>
          <w:sz w:val="28"/>
          <w:lang w:val="en-US" w:eastAsia="zh-CN"/>
        </w:rPr>
        <w:t xml:space="preserve">3.1 </w:t>
      </w:r>
      <w:r>
        <w:rPr>
          <w:rFonts w:ascii="仿宋_GB2312" w:hAnsi="仿宋_GB2312" w:eastAsia="仿宋_GB2312"/>
          <w:b/>
          <w:color w:val="000000"/>
          <w:sz w:val="28"/>
        </w:rPr>
        <w:t>MOF 复合滤芯与净化机理</w:t>
      </w:r>
      <w:bookmarkEnd w:id="19"/>
      <w:bookmarkEnd w:id="20"/>
    </w:p>
    <w:p w14:paraId="7F20DDA9">
      <w:pPr>
        <w:pStyle w:val="5"/>
        <w:numPr>
          <w:ilvl w:val="0"/>
          <w:numId w:val="0"/>
        </w:numPr>
      </w:pPr>
      <w:bookmarkStart w:id="21" w:name="_Toc1363"/>
      <w:bookmarkStart w:id="22" w:name="_Toc232968935"/>
      <w:r>
        <w:rPr>
          <w:rFonts w:hint="eastAsia"/>
          <w:b/>
          <w:color w:val="000000"/>
          <w:sz w:val="28"/>
          <w:lang w:val="en-US" w:eastAsia="zh-CN"/>
        </w:rPr>
        <w:t xml:space="preserve">3.1.1 </w:t>
      </w:r>
      <w:r>
        <w:rPr>
          <w:rFonts w:ascii="仿宋_GB2312" w:hAnsi="仿宋_GB2312" w:eastAsia="仿宋_GB2312"/>
          <w:b/>
          <w:color w:val="000000"/>
          <w:sz w:val="28"/>
        </w:rPr>
        <w:t>分层滤材结构与功能</w:t>
      </w:r>
      <w:bookmarkEnd w:id="21"/>
      <w:bookmarkEnd w:id="22"/>
    </w:p>
    <w:p w14:paraId="60FC3AC3">
      <w:pPr>
        <w:spacing w:after="0" w:afterAutospacing="0"/>
        <w:ind w:firstLine="420"/>
        <w:jc w:val="both"/>
        <w:rPr>
          <w:rFonts w:ascii="仿宋_GB2312" w:hAnsi="仿宋_GB2312" w:eastAsia="仿宋_GB2312"/>
          <w:b w:val="0"/>
          <w:color w:val="000000"/>
          <w:sz w:val="24"/>
        </w:rPr>
      </w:pPr>
      <w:r>
        <w:rPr>
          <w:rFonts w:ascii="仿宋_GB2312" w:hAnsi="仿宋_GB2312" w:eastAsia="仿宋_GB2312"/>
          <w:b w:val="0"/>
          <w:color w:val="000000"/>
          <w:sz w:val="24"/>
        </w:rPr>
        <w:t>复合滤芯以分层方式处理不同尺度和不同性质的污染物：预过滤层首先拦截毛发、皮屑和较大颗粒物；静电或驻极体层承担细颗粒捕集；含 MOF 的功能层用于增强气态污染物吸附与异味处理。MOF 材料的气体吸附研究为功能层选择提供参考[2—3]。各层的功能并非简单叠加，实际表现还受到迎风面积、层间压降、密封和风量的影响。</w:t>
      </w:r>
    </w:p>
    <w:p w14:paraId="1F4CEBD9">
      <w:pPr>
        <w:spacing w:before="363" w:beforeLines="100" w:beforeAutospacing="0"/>
        <w:ind w:firstLine="420"/>
        <w:jc w:val="center"/>
      </w:pPr>
      <w:r>
        <w:rPr>
          <w:rFonts w:ascii="仿宋_GB2312" w:hAnsi="仿宋_GB2312" w:eastAsia="仿宋_GB2312"/>
          <w:b w:val="0"/>
          <w:color w:val="000000"/>
          <w:sz w:val="21"/>
        </w:rPr>
        <w:t>表2 MOF 复合滤芯的分层功能</w:t>
      </w:r>
    </w:p>
    <w:tbl>
      <w:tblPr>
        <w:tblStyle w:val="36"/>
        <w:tblW w:w="0" w:type="auto"/>
        <w:jc w:val="center"/>
        <w:tblLayout w:type="fixed"/>
        <w:tblCellMar>
          <w:top w:w="0" w:type="dxa"/>
          <w:left w:w="108" w:type="dxa"/>
          <w:bottom w:w="0" w:type="dxa"/>
          <w:right w:w="108" w:type="dxa"/>
        </w:tblCellMar>
      </w:tblPr>
      <w:tblGrid>
        <w:gridCol w:w="2313"/>
        <w:gridCol w:w="3862"/>
        <w:gridCol w:w="3815"/>
      </w:tblGrid>
      <w:tr w14:paraId="24071665">
        <w:tblPrEx>
          <w:tblCellMar>
            <w:top w:w="0" w:type="dxa"/>
            <w:left w:w="108" w:type="dxa"/>
            <w:bottom w:w="0" w:type="dxa"/>
            <w:right w:w="108" w:type="dxa"/>
          </w:tblCellMar>
        </w:tblPrEx>
        <w:trPr>
          <w:cantSplit/>
          <w:jc w:val="center"/>
        </w:trPr>
        <w:tc>
          <w:tcPr>
            <w:tcW w:w="2313" w:type="dxa"/>
            <w:tcBorders>
              <w:top w:val="single" w:color="000000" w:sz="10" w:space="0"/>
              <w:left w:val="nil"/>
              <w:bottom w:val="single" w:color="000000" w:sz="6" w:space="0"/>
              <w:right w:val="nil"/>
            </w:tcBorders>
            <w:shd w:val="clear" w:color="auto" w:fill="FFFFFF" w:themeFill="background1"/>
            <w:tcMar>
              <w:top w:w="70" w:type="dxa"/>
              <w:left w:w="90" w:type="dxa"/>
              <w:bottom w:w="70" w:type="dxa"/>
              <w:right w:w="90" w:type="dxa"/>
            </w:tcMar>
            <w:vAlign w:val="center"/>
          </w:tcPr>
          <w:p w14:paraId="6500AE4F">
            <w:pPr>
              <w:keepLines/>
              <w:jc w:val="left"/>
              <w:rPr>
                <w:b/>
                <w:bCs/>
              </w:rPr>
            </w:pPr>
            <w:r>
              <w:rPr>
                <w:rFonts w:ascii="仿宋_GB2312" w:hAnsi="仿宋_GB2312" w:eastAsia="仿宋_GB2312"/>
                <w:b/>
                <w:bCs/>
                <w:color w:val="000000"/>
                <w:sz w:val="24"/>
              </w:rPr>
              <w:t>层级</w:t>
            </w:r>
          </w:p>
        </w:tc>
        <w:tc>
          <w:tcPr>
            <w:tcW w:w="3862" w:type="dxa"/>
            <w:tcBorders>
              <w:top w:val="single" w:color="000000" w:sz="10" w:space="0"/>
              <w:left w:val="nil"/>
              <w:bottom w:val="single" w:color="000000" w:sz="6" w:space="0"/>
              <w:right w:val="nil"/>
            </w:tcBorders>
            <w:shd w:val="clear" w:color="auto" w:fill="FFFFFF" w:themeFill="background1"/>
            <w:tcMar>
              <w:top w:w="70" w:type="dxa"/>
              <w:left w:w="90" w:type="dxa"/>
              <w:bottom w:w="70" w:type="dxa"/>
              <w:right w:w="90" w:type="dxa"/>
            </w:tcMar>
            <w:vAlign w:val="center"/>
          </w:tcPr>
          <w:p w14:paraId="662BFBAA">
            <w:pPr>
              <w:keepLines/>
              <w:jc w:val="left"/>
              <w:rPr>
                <w:b/>
                <w:bCs/>
              </w:rPr>
            </w:pPr>
            <w:r>
              <w:rPr>
                <w:rFonts w:ascii="仿宋_GB2312" w:hAnsi="仿宋_GB2312" w:eastAsia="仿宋_GB2312"/>
                <w:b/>
                <w:bCs/>
                <w:color w:val="000000"/>
                <w:sz w:val="24"/>
              </w:rPr>
              <w:t>主要功能</w:t>
            </w:r>
          </w:p>
        </w:tc>
        <w:tc>
          <w:tcPr>
            <w:tcW w:w="3815" w:type="dxa"/>
            <w:tcBorders>
              <w:top w:val="single" w:color="000000" w:sz="10" w:space="0"/>
              <w:left w:val="nil"/>
              <w:bottom w:val="single" w:color="000000" w:sz="6" w:space="0"/>
              <w:right w:val="nil"/>
            </w:tcBorders>
            <w:shd w:val="clear" w:color="auto" w:fill="FFFFFF" w:themeFill="background1"/>
            <w:tcMar>
              <w:top w:w="70" w:type="dxa"/>
              <w:left w:w="90" w:type="dxa"/>
              <w:bottom w:w="70" w:type="dxa"/>
              <w:right w:w="90" w:type="dxa"/>
            </w:tcMar>
            <w:vAlign w:val="center"/>
          </w:tcPr>
          <w:p w14:paraId="4062A956">
            <w:pPr>
              <w:keepLines/>
              <w:jc w:val="left"/>
              <w:rPr>
                <w:b/>
                <w:bCs/>
              </w:rPr>
            </w:pPr>
            <w:r>
              <w:rPr>
                <w:rFonts w:ascii="仿宋_GB2312" w:hAnsi="仿宋_GB2312" w:eastAsia="仿宋_GB2312"/>
                <w:b/>
                <w:bCs/>
                <w:color w:val="000000"/>
                <w:sz w:val="24"/>
              </w:rPr>
              <w:t>需验证指标</w:t>
            </w:r>
          </w:p>
        </w:tc>
      </w:tr>
      <w:tr w14:paraId="23FA5748">
        <w:tblPrEx>
          <w:tblCellMar>
            <w:top w:w="0" w:type="dxa"/>
            <w:left w:w="108" w:type="dxa"/>
            <w:bottom w:w="0" w:type="dxa"/>
            <w:right w:w="108" w:type="dxa"/>
          </w:tblCellMar>
        </w:tblPrEx>
        <w:trPr>
          <w:cantSplit/>
          <w:jc w:val="center"/>
        </w:trPr>
        <w:tc>
          <w:tcPr>
            <w:tcW w:w="2313" w:type="dxa"/>
            <w:tcMar>
              <w:top w:w="70" w:type="dxa"/>
              <w:left w:w="90" w:type="dxa"/>
              <w:bottom w:w="70" w:type="dxa"/>
              <w:right w:w="90" w:type="dxa"/>
            </w:tcMar>
            <w:vAlign w:val="center"/>
          </w:tcPr>
          <w:p w14:paraId="3EF2E57A">
            <w:pPr>
              <w:keepLines/>
              <w:jc w:val="left"/>
            </w:pPr>
            <w:r>
              <w:rPr>
                <w:rFonts w:ascii="仿宋_GB2312" w:hAnsi="仿宋_GB2312" w:eastAsia="仿宋_GB2312"/>
                <w:b w:val="0"/>
                <w:color w:val="000000"/>
                <w:sz w:val="24"/>
              </w:rPr>
              <w:t>预过滤层</w:t>
            </w:r>
          </w:p>
        </w:tc>
        <w:tc>
          <w:tcPr>
            <w:tcW w:w="3862" w:type="dxa"/>
            <w:tcMar>
              <w:top w:w="70" w:type="dxa"/>
              <w:left w:w="90" w:type="dxa"/>
              <w:bottom w:w="70" w:type="dxa"/>
              <w:right w:w="90" w:type="dxa"/>
            </w:tcMar>
            <w:vAlign w:val="center"/>
          </w:tcPr>
          <w:p w14:paraId="075A496C">
            <w:pPr>
              <w:keepLines/>
              <w:jc w:val="left"/>
            </w:pPr>
            <w:r>
              <w:rPr>
                <w:rFonts w:ascii="仿宋_GB2312" w:hAnsi="仿宋_GB2312" w:eastAsia="仿宋_GB2312"/>
                <w:b w:val="0"/>
                <w:color w:val="000000"/>
                <w:sz w:val="24"/>
              </w:rPr>
              <w:t>拦截毛发、扬尘和较大颗粒物</w:t>
            </w:r>
          </w:p>
        </w:tc>
        <w:tc>
          <w:tcPr>
            <w:tcW w:w="3815" w:type="dxa"/>
            <w:tcMar>
              <w:top w:w="70" w:type="dxa"/>
              <w:left w:w="90" w:type="dxa"/>
              <w:bottom w:w="70" w:type="dxa"/>
              <w:right w:w="90" w:type="dxa"/>
            </w:tcMar>
            <w:vAlign w:val="center"/>
          </w:tcPr>
          <w:p w14:paraId="2DBF6E61">
            <w:pPr>
              <w:keepLines/>
              <w:jc w:val="left"/>
            </w:pPr>
            <w:r>
              <w:rPr>
                <w:rFonts w:ascii="仿宋_GB2312" w:hAnsi="仿宋_GB2312" w:eastAsia="仿宋_GB2312"/>
                <w:b w:val="0"/>
                <w:color w:val="000000"/>
                <w:sz w:val="24"/>
              </w:rPr>
              <w:t>初始效率、压降、可清洁性</w:t>
            </w:r>
          </w:p>
        </w:tc>
      </w:tr>
      <w:tr w14:paraId="26F9E32C">
        <w:tblPrEx>
          <w:tblCellMar>
            <w:top w:w="0" w:type="dxa"/>
            <w:left w:w="108" w:type="dxa"/>
            <w:bottom w:w="0" w:type="dxa"/>
            <w:right w:w="108" w:type="dxa"/>
          </w:tblCellMar>
        </w:tblPrEx>
        <w:trPr>
          <w:cantSplit/>
          <w:jc w:val="center"/>
        </w:trPr>
        <w:tc>
          <w:tcPr>
            <w:tcW w:w="2313" w:type="dxa"/>
            <w:tcMar>
              <w:top w:w="70" w:type="dxa"/>
              <w:left w:w="90" w:type="dxa"/>
              <w:bottom w:w="70" w:type="dxa"/>
              <w:right w:w="90" w:type="dxa"/>
            </w:tcMar>
            <w:vAlign w:val="center"/>
          </w:tcPr>
          <w:p w14:paraId="55F3290A">
            <w:pPr>
              <w:keepLines/>
              <w:jc w:val="left"/>
            </w:pPr>
            <w:r>
              <w:rPr>
                <w:rFonts w:ascii="仿宋_GB2312" w:hAnsi="仿宋_GB2312" w:eastAsia="仿宋_GB2312"/>
                <w:b w:val="0"/>
                <w:color w:val="000000"/>
                <w:sz w:val="24"/>
              </w:rPr>
              <w:t>静电/驻极体层</w:t>
            </w:r>
          </w:p>
        </w:tc>
        <w:tc>
          <w:tcPr>
            <w:tcW w:w="3862" w:type="dxa"/>
            <w:tcMar>
              <w:top w:w="70" w:type="dxa"/>
              <w:left w:w="90" w:type="dxa"/>
              <w:bottom w:w="70" w:type="dxa"/>
              <w:right w:w="90" w:type="dxa"/>
            </w:tcMar>
            <w:vAlign w:val="center"/>
          </w:tcPr>
          <w:p w14:paraId="6C7A5433">
            <w:pPr>
              <w:keepLines/>
              <w:jc w:val="left"/>
            </w:pPr>
            <w:r>
              <w:rPr>
                <w:rFonts w:ascii="仿宋_GB2312" w:hAnsi="仿宋_GB2312" w:eastAsia="仿宋_GB2312"/>
                <w:b w:val="0"/>
                <w:color w:val="000000"/>
                <w:sz w:val="24"/>
              </w:rPr>
              <w:t>细颗粒捕集与容尘</w:t>
            </w:r>
          </w:p>
        </w:tc>
        <w:tc>
          <w:tcPr>
            <w:tcW w:w="3815" w:type="dxa"/>
            <w:tcMar>
              <w:top w:w="70" w:type="dxa"/>
              <w:left w:w="90" w:type="dxa"/>
              <w:bottom w:w="70" w:type="dxa"/>
              <w:right w:w="90" w:type="dxa"/>
            </w:tcMar>
            <w:vAlign w:val="center"/>
          </w:tcPr>
          <w:p w14:paraId="2BFD1420">
            <w:pPr>
              <w:keepLines/>
              <w:jc w:val="left"/>
            </w:pPr>
            <w:r>
              <w:rPr>
                <w:rFonts w:ascii="仿宋_GB2312" w:hAnsi="仿宋_GB2312" w:eastAsia="仿宋_GB2312"/>
                <w:b w:val="0"/>
                <w:color w:val="000000"/>
                <w:sz w:val="24"/>
              </w:rPr>
              <w:t>粒径效率、压降变化和稳定性</w:t>
            </w:r>
          </w:p>
        </w:tc>
      </w:tr>
      <w:tr w14:paraId="64E41EDA">
        <w:tblPrEx>
          <w:tblCellMar>
            <w:top w:w="0" w:type="dxa"/>
            <w:left w:w="108" w:type="dxa"/>
            <w:bottom w:w="0" w:type="dxa"/>
            <w:right w:w="108" w:type="dxa"/>
          </w:tblCellMar>
        </w:tblPrEx>
        <w:trPr>
          <w:cantSplit/>
          <w:jc w:val="center"/>
        </w:trPr>
        <w:tc>
          <w:tcPr>
            <w:tcW w:w="2313" w:type="dxa"/>
            <w:tcBorders>
              <w:bottom w:val="single" w:color="000000" w:sz="10" w:space="0"/>
            </w:tcBorders>
            <w:tcMar>
              <w:top w:w="70" w:type="dxa"/>
              <w:left w:w="90" w:type="dxa"/>
              <w:bottom w:w="70" w:type="dxa"/>
              <w:right w:w="90" w:type="dxa"/>
            </w:tcMar>
            <w:vAlign w:val="center"/>
          </w:tcPr>
          <w:p w14:paraId="5B8CD6C4">
            <w:pPr>
              <w:keepLines/>
              <w:jc w:val="left"/>
            </w:pPr>
            <w:r>
              <w:rPr>
                <w:rFonts w:ascii="仿宋_GB2312" w:hAnsi="仿宋_GB2312" w:eastAsia="仿宋_GB2312"/>
                <w:b w:val="0"/>
                <w:color w:val="000000"/>
                <w:sz w:val="24"/>
              </w:rPr>
              <w:t>MOF 功能层</w:t>
            </w:r>
          </w:p>
        </w:tc>
        <w:tc>
          <w:tcPr>
            <w:tcW w:w="3862" w:type="dxa"/>
            <w:tcBorders>
              <w:bottom w:val="single" w:color="000000" w:sz="10" w:space="0"/>
            </w:tcBorders>
            <w:tcMar>
              <w:top w:w="70" w:type="dxa"/>
              <w:left w:w="90" w:type="dxa"/>
              <w:bottom w:w="70" w:type="dxa"/>
              <w:right w:w="90" w:type="dxa"/>
            </w:tcMar>
            <w:vAlign w:val="center"/>
          </w:tcPr>
          <w:p w14:paraId="4517F77E">
            <w:pPr>
              <w:keepLines/>
              <w:jc w:val="left"/>
            </w:pPr>
            <w:r>
              <w:rPr>
                <w:rFonts w:ascii="仿宋_GB2312" w:hAnsi="仿宋_GB2312" w:eastAsia="仿宋_GB2312"/>
                <w:b w:val="0"/>
                <w:color w:val="000000"/>
                <w:sz w:val="24"/>
              </w:rPr>
              <w:t>气态污染物吸附和异味处理</w:t>
            </w:r>
          </w:p>
        </w:tc>
        <w:tc>
          <w:tcPr>
            <w:tcW w:w="3815" w:type="dxa"/>
            <w:tcBorders>
              <w:bottom w:val="single" w:color="000000" w:sz="10" w:space="0"/>
            </w:tcBorders>
            <w:tcMar>
              <w:top w:w="70" w:type="dxa"/>
              <w:left w:w="90" w:type="dxa"/>
              <w:bottom w:w="70" w:type="dxa"/>
              <w:right w:w="90" w:type="dxa"/>
            </w:tcMar>
            <w:vAlign w:val="center"/>
          </w:tcPr>
          <w:p w14:paraId="437E71E4">
            <w:pPr>
              <w:keepLines/>
              <w:jc w:val="left"/>
            </w:pPr>
            <w:r>
              <w:rPr>
                <w:rFonts w:ascii="仿宋_GB2312" w:hAnsi="仿宋_GB2312" w:eastAsia="仿宋_GB2312"/>
                <w:b w:val="0"/>
                <w:color w:val="000000"/>
                <w:sz w:val="24"/>
              </w:rPr>
              <w:t>吸附曲线、湿度影响和穿透时间</w:t>
            </w:r>
          </w:p>
        </w:tc>
      </w:tr>
    </w:tbl>
    <w:p w14:paraId="1E808809">
      <w:pPr>
        <w:spacing w:after="60"/>
      </w:pPr>
    </w:p>
    <w:p w14:paraId="43EF77E4">
      <w:pPr>
        <w:pStyle w:val="5"/>
        <w:numPr>
          <w:ilvl w:val="0"/>
          <w:numId w:val="0"/>
        </w:numPr>
      </w:pPr>
      <w:bookmarkStart w:id="23" w:name="_Toc1388"/>
      <w:bookmarkStart w:id="24" w:name="_Toc232968936"/>
      <w:r>
        <w:rPr>
          <w:rFonts w:hint="eastAsia"/>
          <w:b/>
          <w:color w:val="000000"/>
          <w:sz w:val="28"/>
          <w:lang w:val="en-US" w:eastAsia="zh-CN"/>
        </w:rPr>
        <w:t xml:space="preserve">3.1.2 </w:t>
      </w:r>
      <w:r>
        <w:rPr>
          <w:rFonts w:ascii="仿宋_GB2312" w:hAnsi="仿宋_GB2312" w:eastAsia="仿宋_GB2312"/>
          <w:b/>
          <w:color w:val="000000"/>
          <w:sz w:val="28"/>
        </w:rPr>
        <w:t>低位进风、顶部出风与自清洁设计</w:t>
      </w:r>
      <w:bookmarkEnd w:id="23"/>
      <w:bookmarkEnd w:id="24"/>
    </w:p>
    <w:p w14:paraId="54D74FA0">
      <w:pPr>
        <w:ind w:firstLine="420"/>
        <w:jc w:val="both"/>
      </w:pPr>
      <w:r>
        <w:rPr>
          <w:rFonts w:ascii="仿宋_GB2312" w:hAnsi="仿宋_GB2312" w:eastAsia="仿宋_GB2312"/>
          <w:b w:val="0"/>
          <w:color w:val="000000"/>
          <w:sz w:val="24"/>
        </w:rPr>
        <w:t>低位环形进风面向近地层扬尘、毛屑和皮屑较多的区域，顶部导流出风则尽量减少对人体的直接吹拂。进风网罩可拆洗，用于减轻主滤芯的早期堵塞；滤芯仓从侧面或后部开启，避免维护时搬动整机。针孔电晕和反向气流自清洁结构保留为参考文档中的工程设想，其安全性、耐久性和实际延寿效果需通过专项测试确认。</w:t>
      </w:r>
    </w:p>
    <w:p w14:paraId="6316993F">
      <w:pPr>
        <w:keepNext/>
        <w:spacing w:before="60" w:after="20" w:line="240" w:lineRule="auto"/>
        <w:jc w:val="center"/>
      </w:pPr>
      <w:r>
        <w:rPr>
          <w:rFonts w:ascii="仿宋_GB2312" w:hAnsi="仿宋_GB2312" w:eastAsia="仿宋_GB2312"/>
          <w:b w:val="0"/>
          <w:color w:val="000000"/>
          <w:sz w:val="24"/>
        </w:rPr>
        <w:drawing>
          <wp:inline distT="0" distB="0" distL="0" distR="0">
            <wp:extent cx="5335905" cy="2745105"/>
            <wp:effectExtent l="0" t="0" r="13335" b="13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335905" cy="2745105"/>
                    </a:xfrm>
                    <a:prstGeom prst="rect">
                      <a:avLst/>
                    </a:prstGeom>
                  </pic:spPr>
                </pic:pic>
              </a:graphicData>
            </a:graphic>
          </wp:inline>
        </w:drawing>
      </w:r>
    </w:p>
    <w:p w14:paraId="7501E3D8">
      <w:pPr>
        <w:pStyle w:val="15"/>
        <w:keepLines/>
        <w:spacing w:before="0" w:after="120"/>
        <w:jc w:val="center"/>
      </w:pPr>
      <w:r>
        <w:rPr>
          <w:rFonts w:ascii="仿宋_GB2312" w:hAnsi="仿宋_GB2312" w:eastAsia="仿宋_GB2312"/>
          <w:b w:val="0"/>
          <w:color w:val="000000"/>
          <w:sz w:val="21"/>
        </w:rPr>
        <w:t>图5 三层复合滤芯的气流与功能层结构</w:t>
      </w:r>
    </w:p>
    <w:p w14:paraId="648ECD21">
      <w:pPr>
        <w:ind w:firstLine="420"/>
        <w:jc w:val="both"/>
      </w:pPr>
      <w:r>
        <w:rPr>
          <w:rFonts w:ascii="仿宋_GB2312" w:hAnsi="仿宋_GB2312" w:eastAsia="仿宋_GB2312"/>
          <w:b w:val="0"/>
          <w:color w:val="000000"/>
          <w:sz w:val="24"/>
        </w:rPr>
        <w:t>为了确认不同功能层不是概念上的堆叠，我们把参考材料中的颗粒形貌和结构表征作为选材依据。图6展示了功能颗粒与基材的表征素材，后续仍需通过滤材样品与整机试验检验层间结合、压降变化和长期稳定性。</w:t>
      </w:r>
    </w:p>
    <w:p w14:paraId="556047F9">
      <w:pPr>
        <w:keepNext/>
        <w:spacing w:before="60" w:after="20" w:line="240" w:lineRule="auto"/>
        <w:jc w:val="center"/>
      </w:pPr>
      <w:r>
        <w:rPr>
          <w:rFonts w:ascii="仿宋_GB2312" w:hAnsi="仿宋_GB2312" w:eastAsia="仿宋_GB2312"/>
          <w:b w:val="0"/>
          <w:color w:val="000000"/>
          <w:sz w:val="24"/>
        </w:rPr>
        <w:drawing>
          <wp:inline distT="0" distB="0" distL="0" distR="0">
            <wp:extent cx="5715000" cy="26581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5715000" cy="2658110"/>
                    </a:xfrm>
                    <a:prstGeom prst="rect">
                      <a:avLst/>
                    </a:prstGeom>
                  </pic:spPr>
                </pic:pic>
              </a:graphicData>
            </a:graphic>
          </wp:inline>
        </w:drawing>
      </w:r>
    </w:p>
    <w:p w14:paraId="62DBF4E4">
      <w:pPr>
        <w:pStyle w:val="15"/>
        <w:keepLines/>
        <w:spacing w:before="0" w:after="120"/>
        <w:jc w:val="center"/>
        <w:rPr>
          <w:rFonts w:ascii="仿宋_GB2312" w:hAnsi="仿宋_GB2312" w:eastAsia="仿宋_GB2312"/>
          <w:b w:val="0"/>
          <w:color w:val="000000"/>
          <w:sz w:val="21"/>
        </w:rPr>
      </w:pPr>
      <w:r>
        <w:rPr>
          <w:rFonts w:ascii="仿宋_GB2312" w:hAnsi="仿宋_GB2312" w:eastAsia="仿宋_GB2312"/>
          <w:b w:val="0"/>
          <w:color w:val="000000"/>
          <w:sz w:val="21"/>
        </w:rPr>
        <w:t>图6 复合滤材功能层的颗粒形貌与表征素材</w:t>
      </w:r>
      <w:bookmarkStart w:id="25" w:name="_Toc232968937"/>
    </w:p>
    <w:p w14:paraId="4FAC072A">
      <w:pPr>
        <w:pStyle w:val="15"/>
        <w:keepLines/>
        <w:spacing w:before="0" w:after="120"/>
        <w:jc w:val="both"/>
        <w:rPr>
          <w:rFonts w:hint="eastAsia"/>
          <w:b/>
          <w:color w:val="000000"/>
          <w:sz w:val="28"/>
          <w:lang w:val="en-US" w:eastAsia="zh-CN"/>
        </w:rPr>
      </w:pPr>
    </w:p>
    <w:p w14:paraId="39D46840">
      <w:pPr>
        <w:pStyle w:val="15"/>
        <w:keepLines/>
        <w:spacing w:before="0" w:after="120"/>
        <w:jc w:val="both"/>
        <w:rPr>
          <w:rFonts w:hint="eastAsia"/>
          <w:b/>
          <w:color w:val="000000"/>
          <w:sz w:val="28"/>
          <w:lang w:val="en-US" w:eastAsia="zh-CN"/>
        </w:rPr>
      </w:pPr>
    </w:p>
    <w:p w14:paraId="6D42EE04">
      <w:pPr>
        <w:pStyle w:val="15"/>
        <w:keepLines/>
        <w:spacing w:before="0" w:after="120"/>
        <w:jc w:val="both"/>
        <w:rPr>
          <w:rFonts w:hint="eastAsia"/>
          <w:b/>
          <w:color w:val="000000"/>
          <w:sz w:val="28"/>
          <w:lang w:val="en-US" w:eastAsia="zh-CN"/>
        </w:rPr>
      </w:pPr>
    </w:p>
    <w:p w14:paraId="5E133460">
      <w:pPr>
        <w:pStyle w:val="15"/>
        <w:keepLines/>
        <w:spacing w:before="0" w:after="120"/>
        <w:jc w:val="both"/>
        <w:rPr>
          <w:rFonts w:hint="eastAsia"/>
          <w:b/>
          <w:color w:val="000000"/>
          <w:sz w:val="28"/>
          <w:lang w:val="en-US" w:eastAsia="zh-CN"/>
        </w:rPr>
      </w:pPr>
    </w:p>
    <w:p w14:paraId="17C428D4">
      <w:pPr>
        <w:pStyle w:val="4"/>
        <w:bidi w:val="0"/>
      </w:pPr>
      <w:bookmarkStart w:id="26" w:name="_Toc3410"/>
      <w:r>
        <w:rPr>
          <w:rFonts w:hint="eastAsia"/>
          <w:lang w:val="en-US" w:eastAsia="zh-CN"/>
        </w:rPr>
        <w:t xml:space="preserve">3.2 </w:t>
      </w:r>
      <w:r>
        <w:t>移动底盘与自主导航</w:t>
      </w:r>
      <w:bookmarkEnd w:id="25"/>
      <w:bookmarkEnd w:id="26"/>
      <w:bookmarkStart w:id="27" w:name="_Toc232968938"/>
    </w:p>
    <w:p w14:paraId="5EE3E659">
      <w:pPr>
        <w:pStyle w:val="5"/>
        <w:bidi w:val="0"/>
      </w:pPr>
      <w:bookmarkStart w:id="28" w:name="_Toc19515"/>
      <w:r>
        <w:rPr>
          <w:rFonts w:hint="eastAsia"/>
          <w:lang w:val="en-US" w:eastAsia="zh-CN"/>
        </w:rPr>
        <w:t>3.2.1</w:t>
      </w:r>
      <w:r>
        <w:t>三轮全向底盘结构</w:t>
      </w:r>
      <w:bookmarkEnd w:id="27"/>
      <w:bookmarkEnd w:id="28"/>
    </w:p>
    <w:p w14:paraId="0A812147">
      <w:pPr>
        <w:pStyle w:val="15"/>
        <w:keepLines/>
        <w:spacing w:before="0" w:beforeAutospacing="0" w:after="98" w:afterAutospacing="0"/>
        <w:ind w:left="0" w:leftChars="0" w:firstLine="480" w:firstLineChars="0"/>
        <w:jc w:val="both"/>
      </w:pPr>
      <w:r>
        <w:rPr>
          <w:rFonts w:ascii="仿宋_GB2312" w:hAnsi="仿宋_GB2312" w:eastAsia="仿宋_GB2312"/>
          <w:b w:val="0"/>
          <w:color w:val="000000"/>
          <w:sz w:val="24"/>
        </w:rPr>
        <w:t>底盘采用三轮全向轮 120° 布局。相比只依靠转向改变行驶方向的结构，全向轮可以在靠近目标点时进行横向微调，适合门口、床边和桌脚附近的狭窄区域。该选择服务于“到位”而非追求高速移动：只有机器人能稳定停在合适位置，定点净化才具备比较意义。</w:t>
      </w:r>
    </w:p>
    <w:p w14:paraId="16E6576B">
      <w:pPr>
        <w:keepNext/>
        <w:spacing w:before="60" w:after="20" w:line="240" w:lineRule="auto"/>
        <w:jc w:val="center"/>
      </w:pPr>
      <w:r>
        <w:rPr>
          <w:rFonts w:ascii="仿宋_GB2312" w:hAnsi="仿宋_GB2312" w:eastAsia="仿宋_GB2312"/>
          <w:b w:val="0"/>
          <w:color w:val="000000"/>
          <w:sz w:val="24"/>
        </w:rPr>
        <w:drawing>
          <wp:inline distT="0" distB="0" distL="0" distR="0">
            <wp:extent cx="4084320" cy="377761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4084320" cy="3777615"/>
                    </a:xfrm>
                    <a:prstGeom prst="rect">
                      <a:avLst/>
                    </a:prstGeom>
                  </pic:spPr>
                </pic:pic>
              </a:graphicData>
            </a:graphic>
          </wp:inline>
        </w:drawing>
      </w:r>
    </w:p>
    <w:p w14:paraId="1DB4674F">
      <w:pPr>
        <w:pStyle w:val="15"/>
        <w:keepLines/>
        <w:spacing w:before="0" w:after="120"/>
        <w:jc w:val="center"/>
      </w:pPr>
      <w:r>
        <w:rPr>
          <w:rFonts w:ascii="仿宋_GB2312" w:hAnsi="仿宋_GB2312" w:eastAsia="仿宋_GB2312"/>
          <w:b w:val="0"/>
          <w:color w:val="000000"/>
          <w:sz w:val="21"/>
        </w:rPr>
        <w:t>图7 全向轮底盘与内部布局示意</w:t>
      </w:r>
    </w:p>
    <w:p w14:paraId="2CEC0775">
      <w:pPr>
        <w:pStyle w:val="5"/>
        <w:numPr>
          <w:ilvl w:val="0"/>
          <w:numId w:val="0"/>
        </w:numPr>
      </w:pPr>
      <w:bookmarkStart w:id="29" w:name="_Toc32291"/>
      <w:bookmarkStart w:id="30" w:name="_Toc232968939"/>
      <w:r>
        <w:rPr>
          <w:rFonts w:hint="eastAsia"/>
          <w:b/>
          <w:color w:val="000000"/>
          <w:sz w:val="28"/>
          <w:lang w:val="en-US" w:eastAsia="zh-CN"/>
        </w:rPr>
        <w:t xml:space="preserve">3.2.2 </w:t>
      </w:r>
      <w:r>
        <w:rPr>
          <w:rFonts w:ascii="仿宋_GB2312" w:hAnsi="仿宋_GB2312" w:eastAsia="仿宋_GB2312"/>
          <w:b/>
          <w:color w:val="000000"/>
          <w:sz w:val="28"/>
        </w:rPr>
        <w:t>定位、路径规划与避障</w:t>
      </w:r>
      <w:bookmarkEnd w:id="29"/>
      <w:bookmarkEnd w:id="30"/>
    </w:p>
    <w:p w14:paraId="75E6F176">
      <w:pPr>
        <w:ind w:firstLine="420"/>
        <w:jc w:val="both"/>
      </w:pPr>
      <w:r>
        <w:rPr>
          <w:rFonts w:ascii="仿宋_GB2312" w:hAnsi="仿宋_GB2312" w:eastAsia="仿宋_GB2312"/>
          <w:b w:val="0"/>
          <w:color w:val="000000"/>
          <w:sz w:val="24"/>
        </w:rPr>
        <w:t>激光雷达、视觉里程计、IMU 和轮速信息为室内定位提供互补数据。上位系统负责建图、目标点选择和全局路线，底层控制器负责电机闭环和局部避障。遇到宠物、椅子或人员等临时障碍物时，系统应先减速，再绕行；若不能安全通过，则停止任务并提示用户，而不是强行继续。</w:t>
      </w:r>
    </w:p>
    <w:p w14:paraId="37CA3387">
      <w:pPr>
        <w:pStyle w:val="4"/>
        <w:numPr>
          <w:ilvl w:val="0"/>
          <w:numId w:val="0"/>
        </w:numPr>
      </w:pPr>
      <w:bookmarkStart w:id="31" w:name="_Toc232968940"/>
      <w:bookmarkStart w:id="32" w:name="_Toc1330"/>
      <w:r>
        <w:rPr>
          <w:rFonts w:hint="eastAsia"/>
          <w:b/>
          <w:color w:val="000000"/>
          <w:sz w:val="28"/>
          <w:lang w:val="en-US" w:eastAsia="zh-CN"/>
        </w:rPr>
        <w:t xml:space="preserve">3.3 </w:t>
      </w:r>
      <w:r>
        <w:rPr>
          <w:rFonts w:ascii="仿宋_GB2312" w:hAnsi="仿宋_GB2312" w:eastAsia="仿宋_GB2312"/>
          <w:b/>
          <w:color w:val="000000"/>
          <w:sz w:val="28"/>
        </w:rPr>
        <w:t>环境感知与任务决策</w:t>
      </w:r>
      <w:bookmarkEnd w:id="31"/>
      <w:bookmarkEnd w:id="32"/>
    </w:p>
    <w:p w14:paraId="63279F07">
      <w:pPr>
        <w:pStyle w:val="5"/>
        <w:numPr>
          <w:ilvl w:val="0"/>
          <w:numId w:val="0"/>
        </w:numPr>
      </w:pPr>
      <w:bookmarkStart w:id="33" w:name="_Toc8092"/>
      <w:bookmarkStart w:id="34" w:name="_Toc232968941"/>
      <w:r>
        <w:rPr>
          <w:rFonts w:hint="eastAsia"/>
          <w:b/>
          <w:color w:val="000000"/>
          <w:sz w:val="28"/>
          <w:lang w:val="en-US" w:eastAsia="zh-CN"/>
        </w:rPr>
        <w:t xml:space="preserve">3.3.1 </w:t>
      </w:r>
      <w:r>
        <w:rPr>
          <w:rFonts w:ascii="仿宋_GB2312" w:hAnsi="仿宋_GB2312" w:eastAsia="仿宋_GB2312"/>
          <w:b/>
          <w:color w:val="000000"/>
          <w:sz w:val="28"/>
        </w:rPr>
        <w:t>多参数空气质量感知</w:t>
      </w:r>
      <w:bookmarkEnd w:id="33"/>
      <w:bookmarkEnd w:id="34"/>
    </w:p>
    <w:p w14:paraId="020CB959">
      <w:pPr>
        <w:ind w:firstLine="420"/>
        <w:jc w:val="both"/>
      </w:pPr>
      <w:r>
        <w:rPr>
          <w:rFonts w:ascii="仿宋_GB2312" w:hAnsi="仿宋_GB2312" w:eastAsia="仿宋_GB2312"/>
          <w:b w:val="0"/>
          <w:color w:val="000000"/>
          <w:sz w:val="24"/>
        </w:rPr>
        <w:t>不同污染物需要不同的监测依据。颗粒物、挥发性有机物、CO₂、温湿度等数据分别反映空气状态的不同侧面。传感器采样口应避开主出风的直接干扰，并通过稳定的采样节奏减少短时波动带来的误判。对于学生样机，传感器读数首先用于任务排序和趋势观察，不能替代标准实验室检测。</w:t>
      </w:r>
    </w:p>
    <w:p w14:paraId="3D2F2ABA">
      <w:pPr>
        <w:pStyle w:val="5"/>
        <w:numPr>
          <w:ilvl w:val="0"/>
          <w:numId w:val="0"/>
        </w:numPr>
      </w:pPr>
      <w:bookmarkStart w:id="35" w:name="_Toc28620"/>
      <w:bookmarkStart w:id="36" w:name="_Toc232968942"/>
      <w:r>
        <w:rPr>
          <w:rFonts w:hint="eastAsia"/>
          <w:b/>
          <w:color w:val="000000"/>
          <w:sz w:val="28"/>
          <w:lang w:val="en-US" w:eastAsia="zh-CN"/>
        </w:rPr>
        <w:t xml:space="preserve">3.3.2 </w:t>
      </w:r>
      <w:r>
        <w:rPr>
          <w:rFonts w:ascii="仿宋_GB2312" w:hAnsi="仿宋_GB2312" w:eastAsia="仿宋_GB2312"/>
          <w:b/>
          <w:color w:val="000000"/>
          <w:sz w:val="28"/>
        </w:rPr>
        <w:t>污染热力图与任务优先级</w:t>
      </w:r>
      <w:bookmarkEnd w:id="35"/>
      <w:bookmarkEnd w:id="36"/>
    </w:p>
    <w:p w14:paraId="5586FF88">
      <w:pPr>
        <w:ind w:firstLine="420"/>
        <w:jc w:val="both"/>
      </w:pPr>
      <w:r>
        <w:rPr>
          <w:rFonts w:ascii="仿宋_GB2312" w:hAnsi="仿宋_GB2312" w:eastAsia="仿宋_GB2312"/>
          <w:b w:val="0"/>
          <w:color w:val="000000"/>
          <w:sz w:val="24"/>
        </w:rPr>
        <w:t>每次采样与机器人位置绑定后，可按房间区域和时间窗口形成污染热力图。系统不应只依据一次读数行动，而应结合连续采样、阈值滞后和污染上升速度进行判断。任务优先级还需考虑距离、电量、夜间低噪偏好和人工暂停指令。热力图的作用是提供可解释的空间线索，而不是把有限的采样点误写成精确空气流场。</w:t>
      </w:r>
    </w:p>
    <w:p w14:paraId="3705ECB5">
      <w:pPr>
        <w:pStyle w:val="4"/>
        <w:numPr>
          <w:ilvl w:val="0"/>
          <w:numId w:val="0"/>
        </w:numPr>
      </w:pPr>
      <w:bookmarkStart w:id="37" w:name="_Toc232968943"/>
      <w:bookmarkStart w:id="38" w:name="_Toc22114"/>
      <w:r>
        <w:rPr>
          <w:rFonts w:hint="eastAsia"/>
          <w:b/>
          <w:color w:val="000000"/>
          <w:sz w:val="28"/>
          <w:lang w:val="en-US" w:eastAsia="zh-CN"/>
        </w:rPr>
        <w:t xml:space="preserve">3.4 </w:t>
      </w:r>
      <w:r>
        <w:rPr>
          <w:rFonts w:ascii="仿宋_GB2312" w:hAnsi="仿宋_GB2312" w:eastAsia="仿宋_GB2312"/>
          <w:b/>
          <w:color w:val="000000"/>
          <w:sz w:val="28"/>
        </w:rPr>
        <w:t>控制架构与安全策略</w:t>
      </w:r>
      <w:bookmarkEnd w:id="37"/>
      <w:bookmarkEnd w:id="38"/>
    </w:p>
    <w:p w14:paraId="7956AF98">
      <w:pPr>
        <w:ind w:firstLine="420"/>
        <w:jc w:val="both"/>
      </w:pPr>
      <w:r>
        <w:rPr>
          <w:rFonts w:ascii="仿宋_GB2312" w:hAnsi="仿宋_GB2312" w:eastAsia="仿宋_GB2312"/>
          <w:b w:val="0"/>
          <w:color w:val="000000"/>
          <w:sz w:val="24"/>
        </w:rPr>
        <w:t>控制架构采用“上位决策、底层实时执行”的分工。上位计算单元处理地图、任务和交互；底层控制器处理电机、风机、传感器采样和安全联锁。即使上位任务被中断，底层也需要保留停止、限速、回充和异常提醒等基本功能。与空气处理设备的工程实现思路相比，移动平台还需额外处理路径与安全联锁问题[4]。</w:t>
      </w:r>
    </w:p>
    <w:p w14:paraId="0D9B643D">
      <w:pPr>
        <w:ind w:firstLine="420"/>
        <w:jc w:val="both"/>
      </w:pPr>
      <w:r>
        <w:rPr>
          <w:rFonts w:ascii="仿宋_GB2312" w:hAnsi="仿宋_GB2312" w:eastAsia="仿宋_GB2312"/>
          <w:b w:val="0"/>
          <w:color w:val="000000"/>
          <w:sz w:val="24"/>
        </w:rPr>
        <w:t>安全策略覆盖低电量、传感器异常、碰撞、轮子卡滞、滤芯维护和人工接管等情况。发生异常时，系统优先停止移动、降低风量并给出可理解的提示。对于可能引入高压、紫外或视觉采集的扩展模块，必须在电气隔离、遮光联锁和隐私告知条件明确后再考虑接入。</w:t>
      </w:r>
    </w:p>
    <w:p w14:paraId="1D61421E">
      <w:pPr>
        <w:keepNext/>
        <w:spacing w:before="60" w:after="20" w:line="240" w:lineRule="auto"/>
        <w:jc w:val="center"/>
      </w:pPr>
      <w:r>
        <w:rPr>
          <w:rFonts w:ascii="仿宋_GB2312" w:hAnsi="仿宋_GB2312" w:eastAsia="仿宋_GB2312"/>
          <w:b w:val="0"/>
          <w:color w:val="000000"/>
          <w:sz w:val="24"/>
        </w:rPr>
        <w:drawing>
          <wp:inline distT="0" distB="0" distL="0" distR="0">
            <wp:extent cx="5464810" cy="2006600"/>
            <wp:effectExtent l="0" t="0" r="635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a:stretch>
                      <a:fillRect/>
                    </a:stretch>
                  </pic:blipFill>
                  <pic:spPr>
                    <a:xfrm>
                      <a:off x="0" y="0"/>
                      <a:ext cx="5464810" cy="2006600"/>
                    </a:xfrm>
                    <a:prstGeom prst="rect">
                      <a:avLst/>
                    </a:prstGeom>
                  </pic:spPr>
                </pic:pic>
              </a:graphicData>
            </a:graphic>
          </wp:inline>
        </w:drawing>
      </w:r>
    </w:p>
    <w:p w14:paraId="37323717">
      <w:pPr>
        <w:pStyle w:val="15"/>
        <w:keepLines/>
        <w:spacing w:before="0" w:after="120"/>
        <w:jc w:val="center"/>
      </w:pPr>
      <w:r>
        <w:rPr>
          <w:rFonts w:ascii="仿宋_GB2312" w:hAnsi="仿宋_GB2312" w:eastAsia="仿宋_GB2312"/>
          <w:b w:val="0"/>
          <w:color w:val="000000"/>
          <w:sz w:val="21"/>
        </w:rPr>
        <w:t>图8 智能控制架构图</w:t>
      </w:r>
    </w:p>
    <w:p w14:paraId="1C783E0E">
      <w:pPr>
        <w:ind w:firstLine="420"/>
        <w:jc w:val="both"/>
      </w:pPr>
      <w:r>
        <w:rPr>
          <w:rFonts w:ascii="仿宋_GB2312" w:hAnsi="仿宋_GB2312" w:eastAsia="仿宋_GB2312"/>
          <w:b w:val="0"/>
          <w:color w:val="000000"/>
          <w:sz w:val="24"/>
        </w:rPr>
        <w:t>图9补充展示控制与执行模块的分层关系。上位层负责任务逻辑，底层围绕电机、风机和传感器完成实时响应；当上位任务无法继续时，底层仍按照限速、停止和提示规则处理当前状态。</w:t>
      </w:r>
    </w:p>
    <w:p w14:paraId="4BF16A9D">
      <w:pPr>
        <w:keepNext/>
        <w:spacing w:before="60" w:after="20" w:line="240" w:lineRule="auto"/>
        <w:jc w:val="center"/>
      </w:pPr>
      <w:r>
        <w:rPr>
          <w:rFonts w:ascii="仿宋_GB2312" w:hAnsi="仿宋_GB2312" w:eastAsia="仿宋_GB2312"/>
          <w:b w:val="0"/>
          <w:color w:val="000000"/>
          <w:sz w:val="24"/>
        </w:rPr>
        <w:drawing>
          <wp:inline distT="0" distB="0" distL="0" distR="0">
            <wp:extent cx="5728970" cy="2790825"/>
            <wp:effectExtent l="0" t="0" r="1270" b="133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5728970" cy="2790825"/>
                    </a:xfrm>
                    <a:prstGeom prst="rect">
                      <a:avLst/>
                    </a:prstGeom>
                  </pic:spPr>
                </pic:pic>
              </a:graphicData>
            </a:graphic>
          </wp:inline>
        </w:drawing>
      </w:r>
    </w:p>
    <w:p w14:paraId="0793E679">
      <w:pPr>
        <w:pStyle w:val="15"/>
        <w:keepLines/>
        <w:spacing w:before="0" w:after="120"/>
        <w:jc w:val="center"/>
      </w:pPr>
      <w:r>
        <w:rPr>
          <w:rFonts w:ascii="仿宋_GB2312" w:hAnsi="仿宋_GB2312" w:eastAsia="仿宋_GB2312"/>
          <w:b w:val="0"/>
          <w:color w:val="000000"/>
          <w:sz w:val="21"/>
        </w:rPr>
        <w:t>图9 控制、感知与执行模块的分层关系</w:t>
      </w:r>
    </w:p>
    <w:p w14:paraId="4FFD76D7">
      <w:pPr>
        <w:pStyle w:val="3"/>
        <w:pageBreakBefore/>
        <w:numPr>
          <w:ilvl w:val="0"/>
          <w:numId w:val="0"/>
        </w:numPr>
        <w:ind w:leftChars="0"/>
      </w:pPr>
      <w:bookmarkStart w:id="39" w:name="_Toc15586"/>
      <w:bookmarkStart w:id="40" w:name="_Toc232968944"/>
      <w:r>
        <w:rPr>
          <w:rFonts w:hint="eastAsia"/>
          <w:b/>
          <w:color w:val="000000"/>
          <w:sz w:val="28"/>
          <w:lang w:val="en-US" w:eastAsia="zh-CN"/>
        </w:rPr>
        <w:t xml:space="preserve">4 </w:t>
      </w:r>
      <w:r>
        <w:rPr>
          <w:rFonts w:ascii="仿宋_GB2312" w:hAnsi="仿宋_GB2312" w:eastAsia="仿宋_GB2312"/>
          <w:b/>
          <w:color w:val="000000"/>
          <w:sz w:val="28"/>
        </w:rPr>
        <w:t>样机结构与功能实现</w:t>
      </w:r>
      <w:bookmarkEnd w:id="39"/>
      <w:bookmarkEnd w:id="40"/>
    </w:p>
    <w:p w14:paraId="49C4E980">
      <w:pPr>
        <w:pStyle w:val="4"/>
        <w:numPr>
          <w:ilvl w:val="0"/>
          <w:numId w:val="0"/>
        </w:numPr>
      </w:pPr>
      <w:bookmarkStart w:id="41" w:name="_Toc7047"/>
      <w:bookmarkStart w:id="42" w:name="_Toc232968945"/>
      <w:r>
        <w:rPr>
          <w:rFonts w:hint="eastAsia"/>
          <w:b/>
          <w:color w:val="000000"/>
          <w:sz w:val="28"/>
          <w:lang w:val="en-US" w:eastAsia="zh-CN"/>
        </w:rPr>
        <w:t xml:space="preserve">4.1 </w:t>
      </w:r>
      <w:r>
        <w:rPr>
          <w:rFonts w:ascii="仿宋_GB2312" w:hAnsi="仿宋_GB2312" w:eastAsia="仿宋_GB2312"/>
          <w:b/>
          <w:color w:val="000000"/>
          <w:sz w:val="28"/>
        </w:rPr>
        <w:t>机械结构与部件布局</w:t>
      </w:r>
      <w:bookmarkEnd w:id="41"/>
      <w:bookmarkEnd w:id="42"/>
    </w:p>
    <w:p w14:paraId="223EB3B6">
      <w:pPr>
        <w:ind w:firstLine="420"/>
        <w:jc w:val="both"/>
      </w:pPr>
      <w:r>
        <w:rPr>
          <w:rFonts w:ascii="仿宋_GB2312" w:hAnsi="仿宋_GB2312" w:eastAsia="仿宋_GB2312"/>
          <w:b w:val="0"/>
          <w:color w:val="000000"/>
          <w:sz w:val="24"/>
        </w:rPr>
        <w:t>样机将较重的电池与驱动部件布置在底部，以降低重心；滤芯和风机置于机身中段，使进、出风距离与传感器位置保持相对独立；雷达、状态灯和语音模块布置在上部，便于获取环境信息并让用户观察设备状态。外壳采用圆角与包覆式运动部件，减少日常接触时的磕碰风险。</w:t>
      </w:r>
    </w:p>
    <w:p w14:paraId="5A810949">
      <w:pPr>
        <w:keepNext/>
        <w:spacing w:before="60" w:after="20" w:line="240" w:lineRule="auto"/>
        <w:jc w:val="center"/>
      </w:pPr>
      <w:r>
        <w:rPr>
          <w:rFonts w:ascii="仿宋_GB2312" w:hAnsi="仿宋_GB2312" w:eastAsia="仿宋_GB2312"/>
          <w:b w:val="0"/>
          <w:color w:val="000000"/>
          <w:sz w:val="24"/>
        </w:rPr>
        <w:drawing>
          <wp:inline distT="0" distB="0" distL="0" distR="0">
            <wp:extent cx="5711825" cy="3208655"/>
            <wp:effectExtent l="0" t="0" r="3175"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a:stretch>
                      <a:fillRect/>
                    </a:stretch>
                  </pic:blipFill>
                  <pic:spPr>
                    <a:xfrm>
                      <a:off x="0" y="0"/>
                      <a:ext cx="5711825" cy="3208655"/>
                    </a:xfrm>
                    <a:prstGeom prst="rect">
                      <a:avLst/>
                    </a:prstGeom>
                  </pic:spPr>
                </pic:pic>
              </a:graphicData>
            </a:graphic>
          </wp:inline>
        </w:drawing>
      </w:r>
    </w:p>
    <w:p w14:paraId="4C992776">
      <w:pPr>
        <w:pStyle w:val="15"/>
        <w:keepLines/>
        <w:spacing w:before="0" w:after="120"/>
        <w:jc w:val="center"/>
        <w:rPr>
          <w:rFonts w:ascii="仿宋_GB2312" w:hAnsi="仿宋_GB2312" w:eastAsia="仿宋_GB2312"/>
          <w:b w:val="0"/>
          <w:color w:val="000000"/>
          <w:sz w:val="21"/>
        </w:rPr>
      </w:pPr>
      <w:r>
        <w:rPr>
          <w:rFonts w:ascii="仿宋_GB2312" w:hAnsi="仿宋_GB2312" w:eastAsia="仿宋_GB2312"/>
          <w:b w:val="0"/>
          <w:color w:val="000000"/>
          <w:sz w:val="21"/>
        </w:rPr>
        <w:t>图10 自制底盘样机与全向轮结构效果图</w:t>
      </w:r>
      <w:bookmarkStart w:id="43" w:name="_Toc232968946"/>
    </w:p>
    <w:p w14:paraId="03DE378A">
      <w:pPr>
        <w:pStyle w:val="4"/>
        <w:bidi w:val="0"/>
      </w:pPr>
      <w:bookmarkStart w:id="44" w:name="_Toc26201"/>
      <w:r>
        <w:rPr>
          <w:rFonts w:hint="eastAsia"/>
          <w:lang w:val="en-US" w:eastAsia="zh-CN"/>
        </w:rPr>
        <w:t xml:space="preserve">4.2 </w:t>
      </w:r>
      <w:r>
        <w:t>净化、移动与交互功能实现</w:t>
      </w:r>
      <w:bookmarkEnd w:id="43"/>
      <w:bookmarkEnd w:id="44"/>
    </w:p>
    <w:p w14:paraId="7F055616">
      <w:pPr>
        <w:ind w:firstLine="420"/>
        <w:jc w:val="both"/>
      </w:pPr>
      <w:r>
        <w:rPr>
          <w:rFonts w:ascii="仿宋_GB2312" w:hAnsi="仿宋_GB2312" w:eastAsia="仿宋_GB2312"/>
          <w:b w:val="0"/>
          <w:color w:val="000000"/>
          <w:sz w:val="24"/>
        </w:rPr>
        <w:t>净化功能由滤芯、风机与风道协同实现；移动功能由底盘、定位与避障模块协同实现；交互功能由环形提示灯、语音和移动端共同承担。三种交互方式承担不同任务：灯光用于提示当前模式和异常，语音用于简单控制，移动端用于查看历史趋势与维护信息。这样能够避免把所有信息塞入单一界面。</w:t>
      </w:r>
    </w:p>
    <w:p w14:paraId="0AC48999">
      <w:pPr>
        <w:pStyle w:val="4"/>
        <w:numPr>
          <w:ilvl w:val="0"/>
          <w:numId w:val="0"/>
        </w:numPr>
      </w:pPr>
      <w:bookmarkStart w:id="45" w:name="_Toc14869"/>
      <w:bookmarkStart w:id="46" w:name="_Toc232968947"/>
      <w:r>
        <w:rPr>
          <w:rFonts w:hint="eastAsia"/>
          <w:b/>
          <w:color w:val="000000"/>
          <w:sz w:val="28"/>
          <w:lang w:val="en-US" w:eastAsia="zh-CN"/>
        </w:rPr>
        <w:t xml:space="preserve">4.3 </w:t>
      </w:r>
      <w:r>
        <w:rPr>
          <w:rFonts w:ascii="仿宋_GB2312" w:hAnsi="仿宋_GB2312" w:eastAsia="仿宋_GB2312"/>
          <w:b/>
          <w:color w:val="000000"/>
          <w:sz w:val="28"/>
        </w:rPr>
        <w:t>典型场景下的任务执行流程</w:t>
      </w:r>
      <w:bookmarkEnd w:id="45"/>
      <w:bookmarkEnd w:id="46"/>
    </w:p>
    <w:p w14:paraId="30DF72F2">
      <w:pPr>
        <w:ind w:firstLine="420"/>
        <w:jc w:val="both"/>
      </w:pPr>
      <w:r>
        <w:rPr>
          <w:rFonts w:ascii="仿宋_GB2312" w:hAnsi="仿宋_GB2312" w:eastAsia="仿宋_GB2312"/>
          <w:b w:val="0"/>
          <w:color w:val="000000"/>
          <w:sz w:val="24"/>
        </w:rPr>
        <w:t>以厨房烹饪后为例，传感器发现局部颗粒物或异味上升后，系统先比较连续采样结果与背景值，再结合地图判断可达的停靠位置；机器人以限速方式到达扩散路径附近，进入短时强化净化；到达设定时长后，系统复测空气状态并决定继续、换位或结束。遇到行人或宠物时，任务应让位于安全避障。</w:t>
      </w:r>
    </w:p>
    <w:p w14:paraId="074988E1">
      <w:pPr>
        <w:ind w:firstLine="420"/>
        <w:jc w:val="both"/>
      </w:pPr>
      <w:r>
        <w:rPr>
          <w:rFonts w:ascii="仿宋_GB2312" w:hAnsi="仿宋_GB2312" w:eastAsia="仿宋_GB2312"/>
          <w:b w:val="0"/>
          <w:color w:val="000000"/>
          <w:sz w:val="24"/>
        </w:rPr>
        <w:t>卧室夜间场景采用不同约束：系统优先限制风机档位和提示频率，避免强风直吹和频繁移动。若污染指标无改善，应提示通风或检查污染源，而不是无限延长作业。具体流程体现的是同一闭环在不同场景下的参数变化，而不是增加另一套独立功能。</w:t>
      </w:r>
    </w:p>
    <w:p w14:paraId="2B14E6D9">
      <w:pPr>
        <w:pStyle w:val="3"/>
        <w:pageBreakBefore/>
        <w:numPr>
          <w:ilvl w:val="0"/>
          <w:numId w:val="0"/>
        </w:numPr>
        <w:spacing w:before="0" w:beforeAutospacing="0" w:after="180" w:afterAutospacing="0"/>
        <w:ind w:leftChars="0"/>
      </w:pPr>
      <w:bookmarkStart w:id="47" w:name="_Toc10489"/>
      <w:bookmarkStart w:id="48" w:name="_Toc232968948"/>
      <w:r>
        <w:rPr>
          <w:rFonts w:hint="eastAsia"/>
          <w:b/>
          <w:color w:val="000000"/>
          <w:sz w:val="28"/>
          <w:lang w:val="en-US" w:eastAsia="zh-CN"/>
        </w:rPr>
        <w:t xml:space="preserve">5 </w:t>
      </w:r>
      <w:r>
        <w:rPr>
          <w:rFonts w:ascii="仿宋_GB2312" w:hAnsi="仿宋_GB2312" w:eastAsia="仿宋_GB2312"/>
          <w:b/>
          <w:color w:val="000000"/>
          <w:sz w:val="28"/>
        </w:rPr>
        <w:t>测试方案与性能分析</w:t>
      </w:r>
      <w:bookmarkEnd w:id="47"/>
      <w:bookmarkEnd w:id="48"/>
    </w:p>
    <w:p w14:paraId="5BE8D4C4">
      <w:pPr>
        <w:pStyle w:val="4"/>
        <w:numPr>
          <w:ilvl w:val="0"/>
          <w:numId w:val="0"/>
        </w:numPr>
        <w:spacing w:before="0" w:beforeAutospacing="0"/>
      </w:pPr>
      <w:bookmarkStart w:id="49" w:name="_Toc232968949"/>
      <w:bookmarkStart w:id="50" w:name="_Toc18928"/>
      <w:r>
        <w:rPr>
          <w:rFonts w:hint="eastAsia"/>
          <w:b/>
          <w:color w:val="000000"/>
          <w:sz w:val="28"/>
          <w:lang w:val="en-US" w:eastAsia="zh-CN"/>
        </w:rPr>
        <w:t xml:space="preserve">5.1 </w:t>
      </w:r>
      <w:r>
        <w:rPr>
          <w:rFonts w:ascii="仿宋_GB2312" w:hAnsi="仿宋_GB2312" w:eastAsia="仿宋_GB2312"/>
          <w:b/>
          <w:color w:val="000000"/>
          <w:sz w:val="28"/>
        </w:rPr>
        <w:t>测试条件、指标与数据处理方法</w:t>
      </w:r>
      <w:bookmarkEnd w:id="49"/>
      <w:bookmarkEnd w:id="50"/>
    </w:p>
    <w:p w14:paraId="0E375D6A">
      <w:pPr>
        <w:ind w:firstLine="420"/>
        <w:jc w:val="both"/>
      </w:pPr>
      <w:r>
        <w:rPr>
          <w:rFonts w:ascii="仿宋_GB2312" w:hAnsi="仿宋_GB2312" w:eastAsia="仿宋_GB2312"/>
          <w:b w:val="0"/>
          <w:color w:val="000000"/>
          <w:sz w:val="24"/>
        </w:rPr>
        <w:t>测试采用“目的—条件与方法—指标—结果—局限性”的记录方式。每次实验需注明测试空间、初始状态、污染物类型、温湿度、采样位置、风机档位、路径设置和重复次数。不同组别只改变一个关键变量，避免同时改变风量、位置和污染条件后无法判断差异来自何处。</w:t>
      </w:r>
    </w:p>
    <w:p w14:paraId="7D0768CC">
      <w:pPr>
        <w:ind w:firstLine="420"/>
        <w:jc w:val="both"/>
      </w:pPr>
      <w:r>
        <w:rPr>
          <w:rFonts w:ascii="仿宋_GB2312" w:hAnsi="仿宋_GB2312" w:eastAsia="仿宋_GB2312"/>
          <w:b w:val="0"/>
          <w:color w:val="000000"/>
          <w:sz w:val="24"/>
        </w:rPr>
        <w:t>参考1中的理论计算给出了效率、阻力和品质因子的基本关系。我们将这些式子作为测试记录的计算依据：它们用于解释数据如何得到，不把公式计算值直接写成整机已达到的结果。</w:t>
      </w:r>
    </w:p>
    <w:p w14:paraId="204C4A47">
      <w:pPr>
        <w:keepNext/>
        <w:spacing w:before="60" w:after="20"/>
        <w:jc w:val="center"/>
      </w:pPr>
      <w:r>
        <w:rPr>
          <w:rFonts w:ascii="仿宋_GB2312" w:hAnsi="仿宋_GB2312" w:eastAsia="仿宋_GB2312"/>
          <w:b w:val="0"/>
          <w:color w:val="000000"/>
          <w:sz w:val="24"/>
        </w:rPr>
        <w:drawing>
          <wp:inline distT="0" distB="0" distL="0" distR="0">
            <wp:extent cx="1806575" cy="426085"/>
            <wp:effectExtent l="0" t="0" r="698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2"/>
                    <a:stretch>
                      <a:fillRect/>
                    </a:stretch>
                  </pic:blipFill>
                  <pic:spPr>
                    <a:xfrm>
                      <a:off x="0" y="0"/>
                      <a:ext cx="1806575" cy="426085"/>
                    </a:xfrm>
                    <a:prstGeom prst="rect">
                      <a:avLst/>
                    </a:prstGeom>
                  </pic:spPr>
                </pic:pic>
              </a:graphicData>
            </a:graphic>
          </wp:inline>
        </w:drawing>
      </w:r>
      <w:r>
        <w:rPr>
          <w:rFonts w:ascii="仿宋_GB2312" w:hAnsi="仿宋_GB2312" w:eastAsia="仿宋_GB2312"/>
          <w:b w:val="0"/>
          <w:color w:val="000000"/>
          <w:sz w:val="24"/>
        </w:rPr>
        <w:t xml:space="preserve">    (1)</w:t>
      </w:r>
    </w:p>
    <w:p w14:paraId="29CA5C7D">
      <w:pPr>
        <w:keepLines/>
        <w:spacing w:after="60"/>
        <w:ind w:firstLine="420"/>
      </w:pPr>
      <w:r>
        <w:rPr>
          <w:rFonts w:ascii="仿宋_GB2312" w:hAnsi="仿宋_GB2312" w:eastAsia="仿宋_GB2312"/>
          <w:b w:val="0"/>
          <w:color w:val="000000"/>
          <w:sz w:val="24"/>
        </w:rPr>
        <w:t>η为颗粒物过滤效率，C_in和C_out分别为滤材前、后的颗粒物浓度。每次比较要固定采样位置和风量。</w:t>
      </w:r>
    </w:p>
    <w:p w14:paraId="534AE0F4">
      <w:pPr>
        <w:keepNext/>
        <w:spacing w:before="60" w:after="20"/>
        <w:jc w:val="center"/>
      </w:pPr>
      <w:r>
        <w:rPr>
          <w:rFonts w:ascii="仿宋_GB2312" w:hAnsi="仿宋_GB2312" w:eastAsia="仿宋_GB2312"/>
          <w:b w:val="0"/>
          <w:color w:val="000000"/>
          <w:sz w:val="24"/>
        </w:rPr>
        <w:drawing>
          <wp:inline distT="0" distB="0" distL="0" distR="0">
            <wp:extent cx="1899285" cy="259080"/>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3"/>
                    <a:stretch>
                      <a:fillRect/>
                    </a:stretch>
                  </pic:blipFill>
                  <pic:spPr>
                    <a:xfrm>
                      <a:off x="0" y="0"/>
                      <a:ext cx="1899285" cy="259200"/>
                    </a:xfrm>
                    <a:prstGeom prst="rect">
                      <a:avLst/>
                    </a:prstGeom>
                  </pic:spPr>
                </pic:pic>
              </a:graphicData>
            </a:graphic>
          </wp:inline>
        </w:drawing>
      </w:r>
      <w:r>
        <w:rPr>
          <w:rFonts w:ascii="仿宋_GB2312" w:hAnsi="仿宋_GB2312" w:eastAsia="仿宋_GB2312"/>
          <w:b w:val="0"/>
          <w:color w:val="000000"/>
          <w:sz w:val="24"/>
        </w:rPr>
        <w:t xml:space="preserve">    (2)</w:t>
      </w:r>
    </w:p>
    <w:p w14:paraId="7AA4DDA8">
      <w:pPr>
        <w:keepLines/>
        <w:spacing w:after="60"/>
        <w:ind w:firstLine="420"/>
      </w:pPr>
      <w:r>
        <w:rPr>
          <w:rFonts w:ascii="仿宋_GB2312" w:hAnsi="仿宋_GB2312" w:eastAsia="仿宋_GB2312"/>
          <w:b w:val="0"/>
          <w:color w:val="000000"/>
          <w:sz w:val="24"/>
        </w:rPr>
        <w:t>Δp为滤材前后的压差。压降升高会增加风机负担，因此需要与过滤效率一起记录。</w:t>
      </w:r>
    </w:p>
    <w:p w14:paraId="21D88140">
      <w:pPr>
        <w:keepNext/>
        <w:spacing w:before="60" w:after="20"/>
        <w:ind w:firstLine="3120" w:firstLineChars="1300"/>
        <w:jc w:val="both"/>
      </w:pPr>
      <w:r>
        <w:rPr>
          <w:rFonts w:ascii="仿宋_GB2312" w:hAnsi="仿宋_GB2312" w:eastAsia="仿宋_GB2312"/>
          <w:b w:val="0"/>
          <w:color w:val="000000"/>
          <w:sz w:val="24"/>
        </w:rPr>
        <w:drawing>
          <wp:inline distT="0" distB="0" distL="0" distR="0">
            <wp:extent cx="1626870" cy="469265"/>
            <wp:effectExtent l="0" t="0" r="381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4"/>
                    <a:stretch>
                      <a:fillRect/>
                    </a:stretch>
                  </pic:blipFill>
                  <pic:spPr>
                    <a:xfrm>
                      <a:off x="0" y="0"/>
                      <a:ext cx="1626870" cy="469265"/>
                    </a:xfrm>
                    <a:prstGeom prst="rect">
                      <a:avLst/>
                    </a:prstGeom>
                  </pic:spPr>
                </pic:pic>
              </a:graphicData>
            </a:graphic>
          </wp:inline>
        </w:drawing>
      </w:r>
      <w:r>
        <w:rPr>
          <w:rFonts w:ascii="仿宋_GB2312" w:hAnsi="仿宋_GB2312" w:eastAsia="仿宋_GB2312"/>
          <w:b w:val="0"/>
          <w:color w:val="000000"/>
          <w:sz w:val="24"/>
        </w:rPr>
        <w:t xml:space="preserve">    (3)</w:t>
      </w:r>
    </w:p>
    <w:p w14:paraId="1EDC2E51">
      <w:pPr>
        <w:keepLines/>
        <w:spacing w:after="60"/>
        <w:ind w:firstLine="420"/>
        <w:rPr>
          <w:rFonts w:ascii="仿宋_GB2312" w:hAnsi="仿宋_GB2312" w:eastAsia="仿宋_GB2312"/>
          <w:b w:val="0"/>
          <w:color w:val="000000"/>
          <w:sz w:val="24"/>
        </w:rPr>
      </w:pPr>
      <w:r>
        <w:rPr>
          <w:rFonts w:ascii="仿宋_GB2312" w:hAnsi="仿宋_GB2312" w:eastAsia="仿宋_GB2312"/>
          <w:b w:val="0"/>
          <w:color w:val="000000"/>
          <w:sz w:val="24"/>
        </w:rPr>
        <w:t>FoM为过滤品质因子，用于比较不同滤材在效率和阻力之间的取舍；数值越大，代表在相同条件下的综合表现越好。</w:t>
      </w:r>
    </w:p>
    <w:p w14:paraId="6D4C3BA6">
      <w:pPr>
        <w:keepLines/>
        <w:spacing w:after="60"/>
        <w:ind w:firstLine="420"/>
        <w:jc w:val="center"/>
      </w:pPr>
      <w:r>
        <w:rPr>
          <w:rFonts w:ascii="仿宋_GB2312" w:hAnsi="仿宋_GB2312" w:eastAsia="仿宋_GB2312"/>
          <w:b w:val="0"/>
          <w:color w:val="000000"/>
          <w:sz w:val="21"/>
        </w:rPr>
        <w:t>表3 样机测试的条件与证据记录</w:t>
      </w:r>
    </w:p>
    <w:tbl>
      <w:tblPr>
        <w:tblStyle w:val="36"/>
        <w:tblW w:w="9933" w:type="dxa"/>
        <w:jc w:val="center"/>
        <w:tblLayout w:type="fixed"/>
        <w:tblCellMar>
          <w:top w:w="0" w:type="dxa"/>
          <w:left w:w="108" w:type="dxa"/>
          <w:bottom w:w="0" w:type="dxa"/>
          <w:right w:w="108" w:type="dxa"/>
        </w:tblCellMar>
      </w:tblPr>
      <w:tblGrid>
        <w:gridCol w:w="1434"/>
        <w:gridCol w:w="4309"/>
        <w:gridCol w:w="4190"/>
      </w:tblGrid>
      <w:tr w14:paraId="43309A84">
        <w:tblPrEx>
          <w:tblCellMar>
            <w:top w:w="0" w:type="dxa"/>
            <w:left w:w="108" w:type="dxa"/>
            <w:bottom w:w="0" w:type="dxa"/>
            <w:right w:w="108" w:type="dxa"/>
          </w:tblCellMar>
        </w:tblPrEx>
        <w:trPr>
          <w:cantSplit/>
          <w:jc w:val="center"/>
        </w:trPr>
        <w:tc>
          <w:tcPr>
            <w:tcW w:w="1434" w:type="dxa"/>
            <w:tcBorders>
              <w:top w:val="single" w:color="000000" w:sz="10" w:space="0"/>
              <w:left w:val="nil"/>
              <w:bottom w:val="single" w:color="000000" w:sz="6" w:space="0"/>
              <w:right w:val="nil"/>
            </w:tcBorders>
            <w:shd w:val="clear" w:color="auto" w:fill="FFFFFF" w:themeFill="background1"/>
            <w:tcMar>
              <w:top w:w="70" w:type="dxa"/>
              <w:left w:w="90" w:type="dxa"/>
              <w:bottom w:w="70" w:type="dxa"/>
              <w:right w:w="90" w:type="dxa"/>
            </w:tcMar>
            <w:vAlign w:val="center"/>
          </w:tcPr>
          <w:p w14:paraId="20994C5D">
            <w:pPr>
              <w:keepLines/>
              <w:jc w:val="left"/>
              <w:rPr>
                <w:b/>
                <w:bCs/>
              </w:rPr>
            </w:pPr>
            <w:r>
              <w:rPr>
                <w:rFonts w:ascii="仿宋_GB2312" w:hAnsi="仿宋_GB2312" w:eastAsia="仿宋_GB2312"/>
                <w:b/>
                <w:bCs/>
                <w:color w:val="000000"/>
                <w:sz w:val="24"/>
              </w:rPr>
              <w:t>模块</w:t>
            </w:r>
          </w:p>
        </w:tc>
        <w:tc>
          <w:tcPr>
            <w:tcW w:w="4309" w:type="dxa"/>
            <w:tcBorders>
              <w:top w:val="single" w:color="000000" w:sz="10" w:space="0"/>
              <w:left w:val="nil"/>
              <w:bottom w:val="single" w:color="000000" w:sz="6" w:space="0"/>
              <w:right w:val="nil"/>
            </w:tcBorders>
            <w:shd w:val="clear" w:color="auto" w:fill="FFFFFF" w:themeFill="background1"/>
            <w:tcMar>
              <w:top w:w="70" w:type="dxa"/>
              <w:left w:w="90" w:type="dxa"/>
              <w:bottom w:w="70" w:type="dxa"/>
              <w:right w:w="90" w:type="dxa"/>
            </w:tcMar>
            <w:vAlign w:val="center"/>
          </w:tcPr>
          <w:p w14:paraId="34134568">
            <w:pPr>
              <w:keepLines/>
              <w:jc w:val="left"/>
              <w:rPr>
                <w:b/>
                <w:bCs/>
              </w:rPr>
            </w:pPr>
            <w:r>
              <w:rPr>
                <w:rFonts w:ascii="仿宋_GB2312" w:hAnsi="仿宋_GB2312" w:eastAsia="仿宋_GB2312"/>
                <w:b/>
                <w:bCs/>
                <w:color w:val="000000"/>
                <w:sz w:val="24"/>
              </w:rPr>
              <w:t>统一条件与方法</w:t>
            </w:r>
          </w:p>
        </w:tc>
        <w:tc>
          <w:tcPr>
            <w:tcW w:w="4190" w:type="dxa"/>
            <w:tcBorders>
              <w:top w:val="single" w:color="000000" w:sz="10" w:space="0"/>
              <w:left w:val="nil"/>
              <w:bottom w:val="single" w:color="000000" w:sz="6" w:space="0"/>
              <w:right w:val="nil"/>
            </w:tcBorders>
            <w:shd w:val="clear" w:color="auto" w:fill="FFFFFF" w:themeFill="background1"/>
            <w:tcMar>
              <w:top w:w="70" w:type="dxa"/>
              <w:left w:w="90" w:type="dxa"/>
              <w:bottom w:w="70" w:type="dxa"/>
              <w:right w:w="90" w:type="dxa"/>
            </w:tcMar>
            <w:vAlign w:val="center"/>
          </w:tcPr>
          <w:p w14:paraId="625A7468">
            <w:pPr>
              <w:keepLines/>
              <w:jc w:val="left"/>
              <w:rPr>
                <w:b/>
                <w:bCs/>
              </w:rPr>
            </w:pPr>
            <w:r>
              <w:rPr>
                <w:rFonts w:ascii="仿宋_GB2312" w:hAnsi="仿宋_GB2312" w:eastAsia="仿宋_GB2312"/>
                <w:b/>
                <w:bCs/>
                <w:color w:val="000000"/>
                <w:sz w:val="24"/>
              </w:rPr>
              <w:t>主要输出</w:t>
            </w:r>
          </w:p>
        </w:tc>
      </w:tr>
      <w:tr w14:paraId="138F3275">
        <w:tblPrEx>
          <w:tblCellMar>
            <w:top w:w="0" w:type="dxa"/>
            <w:left w:w="108" w:type="dxa"/>
            <w:bottom w:w="0" w:type="dxa"/>
            <w:right w:w="108" w:type="dxa"/>
          </w:tblCellMar>
        </w:tblPrEx>
        <w:trPr>
          <w:cantSplit/>
          <w:jc w:val="center"/>
        </w:trPr>
        <w:tc>
          <w:tcPr>
            <w:tcW w:w="1434" w:type="dxa"/>
            <w:tcMar>
              <w:top w:w="70" w:type="dxa"/>
              <w:left w:w="90" w:type="dxa"/>
              <w:bottom w:w="70" w:type="dxa"/>
              <w:right w:w="90" w:type="dxa"/>
            </w:tcMar>
            <w:vAlign w:val="center"/>
          </w:tcPr>
          <w:p w14:paraId="3AA48089">
            <w:pPr>
              <w:keepLines/>
              <w:jc w:val="left"/>
            </w:pPr>
            <w:r>
              <w:rPr>
                <w:rFonts w:ascii="仿宋_GB2312" w:hAnsi="仿宋_GB2312" w:eastAsia="仿宋_GB2312"/>
                <w:b w:val="0"/>
                <w:color w:val="000000"/>
                <w:sz w:val="24"/>
              </w:rPr>
              <w:t>滤材/净化</w:t>
            </w:r>
          </w:p>
        </w:tc>
        <w:tc>
          <w:tcPr>
            <w:tcW w:w="4309" w:type="dxa"/>
            <w:tcMar>
              <w:top w:w="70" w:type="dxa"/>
              <w:left w:w="90" w:type="dxa"/>
              <w:bottom w:w="70" w:type="dxa"/>
              <w:right w:w="90" w:type="dxa"/>
            </w:tcMar>
            <w:vAlign w:val="center"/>
          </w:tcPr>
          <w:p w14:paraId="53E3E5A7">
            <w:pPr>
              <w:keepLines/>
              <w:jc w:val="left"/>
            </w:pPr>
            <w:r>
              <w:rPr>
                <w:rFonts w:ascii="仿宋_GB2312" w:hAnsi="仿宋_GB2312" w:eastAsia="仿宋_GB2312"/>
                <w:b w:val="0"/>
                <w:color w:val="000000"/>
                <w:sz w:val="24"/>
              </w:rPr>
              <w:t>统一风量、粒径或初始浓度、采样时间</w:t>
            </w:r>
          </w:p>
        </w:tc>
        <w:tc>
          <w:tcPr>
            <w:tcW w:w="4190" w:type="dxa"/>
            <w:tcMar>
              <w:top w:w="70" w:type="dxa"/>
              <w:left w:w="90" w:type="dxa"/>
              <w:bottom w:w="70" w:type="dxa"/>
              <w:right w:w="90" w:type="dxa"/>
            </w:tcMar>
            <w:vAlign w:val="center"/>
          </w:tcPr>
          <w:p w14:paraId="68EE285C">
            <w:pPr>
              <w:keepLines/>
              <w:jc w:val="left"/>
            </w:pPr>
            <w:r>
              <w:rPr>
                <w:rFonts w:ascii="仿宋_GB2312" w:hAnsi="仿宋_GB2312" w:eastAsia="仿宋_GB2312"/>
                <w:b w:val="0"/>
                <w:color w:val="000000"/>
                <w:sz w:val="24"/>
              </w:rPr>
              <w:t>效率、压降、穿透与衰减</w:t>
            </w:r>
          </w:p>
        </w:tc>
      </w:tr>
      <w:tr w14:paraId="00D238B2">
        <w:tblPrEx>
          <w:tblCellMar>
            <w:top w:w="0" w:type="dxa"/>
            <w:left w:w="108" w:type="dxa"/>
            <w:bottom w:w="0" w:type="dxa"/>
            <w:right w:w="108" w:type="dxa"/>
          </w:tblCellMar>
        </w:tblPrEx>
        <w:trPr>
          <w:cantSplit/>
          <w:jc w:val="center"/>
        </w:trPr>
        <w:tc>
          <w:tcPr>
            <w:tcW w:w="1434" w:type="dxa"/>
            <w:tcMar>
              <w:top w:w="70" w:type="dxa"/>
              <w:left w:w="90" w:type="dxa"/>
              <w:bottom w:w="70" w:type="dxa"/>
              <w:right w:w="90" w:type="dxa"/>
            </w:tcMar>
            <w:vAlign w:val="center"/>
          </w:tcPr>
          <w:p w14:paraId="778F6E98">
            <w:pPr>
              <w:keepLines/>
              <w:jc w:val="left"/>
            </w:pPr>
            <w:r>
              <w:rPr>
                <w:rFonts w:ascii="仿宋_GB2312" w:hAnsi="仿宋_GB2312" w:eastAsia="仿宋_GB2312"/>
                <w:b w:val="0"/>
                <w:color w:val="000000"/>
                <w:sz w:val="24"/>
              </w:rPr>
              <w:t>移动定点</w:t>
            </w:r>
          </w:p>
        </w:tc>
        <w:tc>
          <w:tcPr>
            <w:tcW w:w="4309" w:type="dxa"/>
            <w:tcMar>
              <w:top w:w="70" w:type="dxa"/>
              <w:left w:w="90" w:type="dxa"/>
              <w:bottom w:w="70" w:type="dxa"/>
              <w:right w:w="90" w:type="dxa"/>
            </w:tcMar>
            <w:vAlign w:val="center"/>
          </w:tcPr>
          <w:p w14:paraId="5492B0FB">
            <w:pPr>
              <w:keepLines/>
              <w:jc w:val="left"/>
            </w:pPr>
            <w:r>
              <w:rPr>
                <w:rFonts w:ascii="仿宋_GB2312" w:hAnsi="仿宋_GB2312" w:eastAsia="仿宋_GB2312"/>
                <w:b w:val="0"/>
                <w:color w:val="000000"/>
                <w:sz w:val="24"/>
              </w:rPr>
              <w:t>相同房间、热点位置与运行时长</w:t>
            </w:r>
          </w:p>
        </w:tc>
        <w:tc>
          <w:tcPr>
            <w:tcW w:w="4190" w:type="dxa"/>
            <w:tcMar>
              <w:top w:w="70" w:type="dxa"/>
              <w:left w:w="90" w:type="dxa"/>
              <w:bottom w:w="70" w:type="dxa"/>
              <w:right w:w="90" w:type="dxa"/>
            </w:tcMar>
            <w:vAlign w:val="center"/>
          </w:tcPr>
          <w:p w14:paraId="1A9C7F74">
            <w:pPr>
              <w:keepLines/>
              <w:jc w:val="left"/>
            </w:pPr>
            <w:r>
              <w:rPr>
                <w:rFonts w:ascii="仿宋_GB2312" w:hAnsi="仿宋_GB2312" w:eastAsia="仿宋_GB2312"/>
                <w:b w:val="0"/>
                <w:color w:val="000000"/>
                <w:sz w:val="24"/>
              </w:rPr>
              <w:t>热点附近变化、到点时间和停靠位置</w:t>
            </w:r>
          </w:p>
        </w:tc>
      </w:tr>
      <w:tr w14:paraId="1BD62D53">
        <w:tblPrEx>
          <w:tblCellMar>
            <w:top w:w="0" w:type="dxa"/>
            <w:left w:w="108" w:type="dxa"/>
            <w:bottom w:w="0" w:type="dxa"/>
            <w:right w:w="108" w:type="dxa"/>
          </w:tblCellMar>
        </w:tblPrEx>
        <w:trPr>
          <w:cantSplit/>
          <w:jc w:val="center"/>
        </w:trPr>
        <w:tc>
          <w:tcPr>
            <w:tcW w:w="1434" w:type="dxa"/>
            <w:tcMar>
              <w:top w:w="70" w:type="dxa"/>
              <w:left w:w="90" w:type="dxa"/>
              <w:bottom w:w="70" w:type="dxa"/>
              <w:right w:w="90" w:type="dxa"/>
            </w:tcMar>
            <w:vAlign w:val="center"/>
          </w:tcPr>
          <w:p w14:paraId="1BD5B6F2">
            <w:pPr>
              <w:keepLines/>
              <w:jc w:val="left"/>
            </w:pPr>
            <w:r>
              <w:rPr>
                <w:rFonts w:ascii="仿宋_GB2312" w:hAnsi="仿宋_GB2312" w:eastAsia="仿宋_GB2312"/>
                <w:b w:val="0"/>
                <w:color w:val="000000"/>
                <w:sz w:val="24"/>
              </w:rPr>
              <w:t>导航安全</w:t>
            </w:r>
          </w:p>
        </w:tc>
        <w:tc>
          <w:tcPr>
            <w:tcW w:w="4309" w:type="dxa"/>
            <w:tcMar>
              <w:top w:w="70" w:type="dxa"/>
              <w:left w:w="90" w:type="dxa"/>
              <w:bottom w:w="70" w:type="dxa"/>
              <w:right w:w="90" w:type="dxa"/>
            </w:tcMar>
            <w:vAlign w:val="center"/>
          </w:tcPr>
          <w:p w14:paraId="70D810D1">
            <w:pPr>
              <w:keepLines/>
              <w:jc w:val="left"/>
            </w:pPr>
            <w:r>
              <w:rPr>
                <w:rFonts w:ascii="仿宋_GB2312" w:hAnsi="仿宋_GB2312" w:eastAsia="仿宋_GB2312"/>
                <w:b w:val="0"/>
                <w:color w:val="000000"/>
                <w:sz w:val="24"/>
              </w:rPr>
              <w:t>门槛、桌脚、动态障碍和回充路线</w:t>
            </w:r>
          </w:p>
        </w:tc>
        <w:tc>
          <w:tcPr>
            <w:tcW w:w="4190" w:type="dxa"/>
            <w:tcMar>
              <w:top w:w="70" w:type="dxa"/>
              <w:left w:w="90" w:type="dxa"/>
              <w:bottom w:w="70" w:type="dxa"/>
              <w:right w:w="90" w:type="dxa"/>
            </w:tcMar>
            <w:vAlign w:val="center"/>
          </w:tcPr>
          <w:p w14:paraId="2C0A2264">
            <w:pPr>
              <w:keepLines/>
              <w:jc w:val="left"/>
            </w:pPr>
            <w:r>
              <w:rPr>
                <w:rFonts w:ascii="仿宋_GB2312" w:hAnsi="仿宋_GB2312" w:eastAsia="仿宋_GB2312"/>
                <w:b w:val="0"/>
                <w:color w:val="000000"/>
                <w:sz w:val="24"/>
              </w:rPr>
              <w:t>到点率、避障记录与异常处理</w:t>
            </w:r>
          </w:p>
        </w:tc>
      </w:tr>
      <w:tr w14:paraId="2E930DC9">
        <w:tblPrEx>
          <w:tblCellMar>
            <w:top w:w="0" w:type="dxa"/>
            <w:left w:w="108" w:type="dxa"/>
            <w:bottom w:w="0" w:type="dxa"/>
            <w:right w:w="108" w:type="dxa"/>
          </w:tblCellMar>
        </w:tblPrEx>
        <w:trPr>
          <w:cantSplit/>
          <w:jc w:val="center"/>
        </w:trPr>
        <w:tc>
          <w:tcPr>
            <w:tcW w:w="1434" w:type="dxa"/>
            <w:tcBorders>
              <w:bottom w:val="single" w:color="000000" w:sz="10" w:space="0"/>
            </w:tcBorders>
            <w:tcMar>
              <w:top w:w="70" w:type="dxa"/>
              <w:left w:w="90" w:type="dxa"/>
              <w:bottom w:w="70" w:type="dxa"/>
              <w:right w:w="90" w:type="dxa"/>
            </w:tcMar>
            <w:vAlign w:val="center"/>
          </w:tcPr>
          <w:p w14:paraId="02957836">
            <w:pPr>
              <w:keepLines/>
              <w:jc w:val="left"/>
            </w:pPr>
            <w:r>
              <w:rPr>
                <w:rFonts w:ascii="仿宋_GB2312" w:hAnsi="仿宋_GB2312" w:eastAsia="仿宋_GB2312"/>
                <w:b w:val="0"/>
                <w:color w:val="000000"/>
                <w:sz w:val="24"/>
              </w:rPr>
              <w:t>能耗噪声</w:t>
            </w:r>
          </w:p>
        </w:tc>
        <w:tc>
          <w:tcPr>
            <w:tcW w:w="4309" w:type="dxa"/>
            <w:tcBorders>
              <w:bottom w:val="single" w:color="000000" w:sz="10" w:space="0"/>
            </w:tcBorders>
            <w:tcMar>
              <w:top w:w="70" w:type="dxa"/>
              <w:left w:w="90" w:type="dxa"/>
              <w:bottom w:w="70" w:type="dxa"/>
              <w:right w:w="90" w:type="dxa"/>
            </w:tcMar>
            <w:vAlign w:val="center"/>
          </w:tcPr>
          <w:p w14:paraId="3B3165CA">
            <w:pPr>
              <w:keepLines/>
              <w:jc w:val="left"/>
            </w:pPr>
            <w:r>
              <w:rPr>
                <w:rFonts w:ascii="仿宋_GB2312" w:hAnsi="仿宋_GB2312" w:eastAsia="仿宋_GB2312"/>
                <w:b w:val="0"/>
                <w:color w:val="000000"/>
                <w:sz w:val="24"/>
              </w:rPr>
              <w:t>待机、巡航、定点、低噪等典型工况</w:t>
            </w:r>
          </w:p>
        </w:tc>
        <w:tc>
          <w:tcPr>
            <w:tcW w:w="4190" w:type="dxa"/>
            <w:tcBorders>
              <w:bottom w:val="single" w:color="000000" w:sz="10" w:space="0"/>
            </w:tcBorders>
            <w:tcMar>
              <w:top w:w="70" w:type="dxa"/>
              <w:left w:w="90" w:type="dxa"/>
              <w:bottom w:w="70" w:type="dxa"/>
              <w:right w:w="90" w:type="dxa"/>
            </w:tcMar>
            <w:vAlign w:val="center"/>
          </w:tcPr>
          <w:p w14:paraId="711ADCBC">
            <w:pPr>
              <w:keepLines/>
              <w:jc w:val="left"/>
            </w:pPr>
            <w:r>
              <w:rPr>
                <w:rFonts w:ascii="仿宋_GB2312" w:hAnsi="仿宋_GB2312" w:eastAsia="仿宋_GB2312"/>
                <w:b w:val="0"/>
                <w:color w:val="000000"/>
                <w:sz w:val="24"/>
              </w:rPr>
              <w:t>单位任务能耗、声压级和维护记录</w:t>
            </w:r>
          </w:p>
        </w:tc>
      </w:tr>
    </w:tbl>
    <w:p w14:paraId="5A84AAAA">
      <w:pPr>
        <w:spacing w:after="60"/>
      </w:pPr>
    </w:p>
    <w:p w14:paraId="2E942303">
      <w:pPr>
        <w:pStyle w:val="4"/>
        <w:pageBreakBefore/>
        <w:numPr>
          <w:ilvl w:val="0"/>
          <w:numId w:val="0"/>
        </w:numPr>
      </w:pPr>
      <w:bookmarkStart w:id="51" w:name="_Toc232968950"/>
      <w:bookmarkStart w:id="52" w:name="_Toc23128"/>
      <w:r>
        <w:rPr>
          <w:rFonts w:hint="eastAsia"/>
          <w:b/>
          <w:color w:val="000000"/>
          <w:sz w:val="28"/>
          <w:lang w:val="en-US" w:eastAsia="zh-CN"/>
        </w:rPr>
        <w:t xml:space="preserve">5.2 </w:t>
      </w:r>
      <w:r>
        <w:rPr>
          <w:rFonts w:ascii="仿宋_GB2312" w:hAnsi="仿宋_GB2312" w:eastAsia="仿宋_GB2312"/>
          <w:b/>
          <w:color w:val="000000"/>
          <w:sz w:val="28"/>
        </w:rPr>
        <w:t>滤材与净化性能测试</w:t>
      </w:r>
      <w:bookmarkEnd w:id="51"/>
      <w:bookmarkEnd w:id="52"/>
    </w:p>
    <w:p w14:paraId="040FE91C">
      <w:pPr>
        <w:ind w:firstLine="420"/>
        <w:jc w:val="both"/>
      </w:pPr>
      <w:r>
        <w:rPr>
          <w:rFonts w:ascii="仿宋_GB2312" w:hAnsi="仿宋_GB2312" w:eastAsia="仿宋_GB2312"/>
          <w:b w:val="0"/>
          <w:color w:val="000000"/>
          <w:sz w:val="24"/>
        </w:rPr>
        <w:t>滤材测试用于评价分层材料的过滤与阻力特征。颗粒物过滤效率可按 η=(C上游−C下游)/C上游×100% 计算，压降以滤芯前后压差表示。VOCs 处理应在独立密闭舱或明确的半密闭条件下进行，记录初始浓度、温湿度和采样时长，不能将颗粒物与气态污染物放在同一结果中概括。</w:t>
      </w:r>
    </w:p>
    <w:p w14:paraId="716E816E">
      <w:pPr>
        <w:ind w:firstLine="420"/>
        <w:jc w:val="both"/>
      </w:pPr>
      <w:r>
        <w:rPr>
          <w:rFonts w:ascii="仿宋_GB2312" w:hAnsi="仿宋_GB2312" w:eastAsia="仿宋_GB2312"/>
          <w:b w:val="0"/>
          <w:color w:val="000000"/>
          <w:sz w:val="24"/>
        </w:rPr>
        <w:t>参考1保留的材料样品数据中，PDA 滤材在迎风面风速 0.4 m/s、0.1 μm 颗粒物条件下的过滤效率为 99.48%，对应风阻记录为 9.5 Pa。这些数值仅说明特定滤材样品在给定条件下的表现；装入样机后的效率还受密封、旁路泄漏、风道和风机工况影响，需要单独测试。微能辅助方案的相关设计资料参见文献[5—6]，不纳入本样机供能结论。</w:t>
      </w:r>
    </w:p>
    <w:p w14:paraId="376843E2">
      <w:pPr>
        <w:ind w:firstLine="420"/>
        <w:jc w:val="both"/>
      </w:pPr>
      <w:r>
        <w:rPr>
          <w:rFonts w:ascii="仿宋_GB2312" w:hAnsi="仿宋_GB2312" w:eastAsia="仿宋_GB2312"/>
          <w:b w:val="0"/>
          <w:color w:val="000000"/>
          <w:sz w:val="24"/>
        </w:rPr>
        <w:t>图11和图12分别保留了滤材样品在不同粒径、不同滤速下的性能素材。两张图用于说明为什么测试时要同时测量过滤效率和压降：单独看其中一个指标，无法判断滤芯放入样机后是否仍具备合适的风量与能耗表现。</w:t>
      </w:r>
    </w:p>
    <w:p w14:paraId="360116BC">
      <w:pPr>
        <w:keepNext/>
        <w:spacing w:before="60" w:after="20" w:line="240" w:lineRule="auto"/>
        <w:jc w:val="center"/>
      </w:pPr>
      <w:r>
        <w:rPr>
          <w:rFonts w:ascii="仿宋_GB2312" w:hAnsi="仿宋_GB2312" w:eastAsia="仿宋_GB2312"/>
          <w:b w:val="0"/>
          <w:color w:val="000000"/>
          <w:sz w:val="24"/>
        </w:rPr>
        <w:drawing>
          <wp:inline distT="0" distB="0" distL="0" distR="0">
            <wp:extent cx="5330825" cy="2322830"/>
            <wp:effectExtent l="0" t="0" r="3175"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5"/>
                    <a:stretch>
                      <a:fillRect/>
                    </a:stretch>
                  </pic:blipFill>
                  <pic:spPr>
                    <a:xfrm>
                      <a:off x="0" y="0"/>
                      <a:ext cx="5330825" cy="2322830"/>
                    </a:xfrm>
                    <a:prstGeom prst="rect">
                      <a:avLst/>
                    </a:prstGeom>
                  </pic:spPr>
                </pic:pic>
              </a:graphicData>
            </a:graphic>
          </wp:inline>
        </w:drawing>
      </w:r>
    </w:p>
    <w:p w14:paraId="62D1F7C5">
      <w:pPr>
        <w:pStyle w:val="15"/>
        <w:keepLines/>
        <w:spacing w:before="0" w:after="120"/>
        <w:jc w:val="center"/>
      </w:pPr>
      <w:r>
        <w:rPr>
          <w:rFonts w:ascii="仿宋_GB2312" w:hAnsi="仿宋_GB2312" w:eastAsia="仿宋_GB2312"/>
          <w:b w:val="0"/>
          <w:color w:val="000000"/>
          <w:sz w:val="21"/>
        </w:rPr>
        <w:t>图11 PDA@PET 与 PET 的颗粒过滤效率对比（材料级）</w:t>
      </w:r>
    </w:p>
    <w:p w14:paraId="2C1B39BA">
      <w:pPr>
        <w:keepNext/>
        <w:spacing w:before="60" w:after="20" w:line="240" w:lineRule="auto"/>
        <w:jc w:val="center"/>
      </w:pPr>
      <w:r>
        <w:rPr>
          <w:rFonts w:ascii="仿宋_GB2312" w:hAnsi="仿宋_GB2312" w:eastAsia="仿宋_GB2312"/>
          <w:b w:val="0"/>
          <w:color w:val="000000"/>
          <w:sz w:val="24"/>
        </w:rPr>
        <w:drawing>
          <wp:inline distT="0" distB="0" distL="0" distR="0">
            <wp:extent cx="5256530" cy="1904365"/>
            <wp:effectExtent l="0" t="0" r="127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6"/>
                    <a:stretch>
                      <a:fillRect/>
                    </a:stretch>
                  </pic:blipFill>
                  <pic:spPr>
                    <a:xfrm>
                      <a:off x="0" y="0"/>
                      <a:ext cx="5256530" cy="1904365"/>
                    </a:xfrm>
                    <a:prstGeom prst="rect">
                      <a:avLst/>
                    </a:prstGeom>
                  </pic:spPr>
                </pic:pic>
              </a:graphicData>
            </a:graphic>
          </wp:inline>
        </w:drawing>
      </w:r>
    </w:p>
    <w:p w14:paraId="50D112C2">
      <w:pPr>
        <w:pStyle w:val="15"/>
        <w:keepLines/>
        <w:spacing w:before="0" w:after="120"/>
        <w:jc w:val="center"/>
      </w:pPr>
      <w:r>
        <w:rPr>
          <w:rFonts w:ascii="仿宋_GB2312" w:hAnsi="仿宋_GB2312" w:eastAsia="仿宋_GB2312"/>
          <w:b w:val="0"/>
          <w:color w:val="000000"/>
          <w:sz w:val="21"/>
        </w:rPr>
        <w:t>图12 PDA@PET 与 PET 的压降—滤速曲线（材料级）</w:t>
      </w:r>
    </w:p>
    <w:p w14:paraId="7FC98539">
      <w:pPr>
        <w:pStyle w:val="4"/>
        <w:numPr>
          <w:ilvl w:val="0"/>
          <w:numId w:val="0"/>
        </w:numPr>
      </w:pPr>
      <w:bookmarkStart w:id="53" w:name="_Toc23212"/>
      <w:bookmarkStart w:id="54" w:name="_Toc232968951"/>
      <w:r>
        <w:rPr>
          <w:rFonts w:hint="eastAsia"/>
          <w:b/>
          <w:color w:val="000000"/>
          <w:sz w:val="28"/>
          <w:lang w:val="en-US" w:eastAsia="zh-CN"/>
        </w:rPr>
        <w:t xml:space="preserve">5.3 </w:t>
      </w:r>
      <w:r>
        <w:rPr>
          <w:rFonts w:ascii="仿宋_GB2312" w:hAnsi="仿宋_GB2312" w:eastAsia="仿宋_GB2312"/>
          <w:b/>
          <w:color w:val="000000"/>
          <w:sz w:val="28"/>
        </w:rPr>
        <w:t>移动定点净化对比测试</w:t>
      </w:r>
      <w:bookmarkEnd w:id="53"/>
      <w:bookmarkEnd w:id="54"/>
    </w:p>
    <w:p w14:paraId="7108D95C">
      <w:pPr>
        <w:ind w:firstLine="420"/>
        <w:jc w:val="both"/>
      </w:pPr>
      <w:r>
        <w:rPr>
          <w:rFonts w:ascii="仿宋_GB2312" w:hAnsi="仿宋_GB2312" w:eastAsia="仿宋_GB2312"/>
          <w:b w:val="0"/>
          <w:color w:val="000000"/>
          <w:sz w:val="24"/>
        </w:rPr>
        <w:t>移动定点净化应与固定位置运行进行对照。两组在相同房间、相同初始污染条件、相同运行时长和相近风量下开展，区别仅在于是否根据热点移动到目标点。除记录热点附近和其他采样点的空气变化外，还应记录到点时间、避障次数、任务中断原因和实际停靠位置。</w:t>
      </w:r>
    </w:p>
    <w:p w14:paraId="7B878FC9">
      <w:pPr>
        <w:ind w:firstLine="420"/>
        <w:jc w:val="both"/>
      </w:pPr>
      <w:r>
        <w:rPr>
          <w:rFonts w:ascii="仿宋_GB2312" w:hAnsi="仿宋_GB2312" w:eastAsia="仿宋_GB2312"/>
          <w:b w:val="0"/>
          <w:color w:val="000000"/>
          <w:sz w:val="24"/>
        </w:rPr>
        <w:t>若某些场景中移动组的优势不明显，应保留这一结果并分析原因，例如开窗导致的强对流、污染源持续释放、目标点不合理或停靠距离不合适。对比赛样机而言，能够说明适用条件和失败原因，比把所有场景写成同一结论更可靠。</w:t>
      </w:r>
    </w:p>
    <w:p w14:paraId="1AA40B7B">
      <w:pPr>
        <w:pStyle w:val="4"/>
        <w:numPr>
          <w:ilvl w:val="0"/>
          <w:numId w:val="0"/>
        </w:numPr>
      </w:pPr>
      <w:bookmarkStart w:id="55" w:name="_Toc232968952"/>
      <w:bookmarkStart w:id="56" w:name="_Toc25275"/>
      <w:r>
        <w:rPr>
          <w:rFonts w:hint="eastAsia"/>
          <w:b/>
          <w:color w:val="000000"/>
          <w:sz w:val="28"/>
          <w:lang w:val="en-US" w:eastAsia="zh-CN"/>
        </w:rPr>
        <w:t xml:space="preserve">5.4 </w:t>
      </w:r>
      <w:r>
        <w:rPr>
          <w:rFonts w:ascii="仿宋_GB2312" w:hAnsi="仿宋_GB2312" w:eastAsia="仿宋_GB2312"/>
          <w:b/>
          <w:color w:val="000000"/>
          <w:sz w:val="28"/>
        </w:rPr>
        <w:t>导航、避障与安全测试</w:t>
      </w:r>
      <w:bookmarkEnd w:id="55"/>
      <w:bookmarkEnd w:id="56"/>
    </w:p>
    <w:p w14:paraId="22593218">
      <w:pPr>
        <w:ind w:firstLine="420"/>
        <w:jc w:val="both"/>
      </w:pPr>
      <w:r>
        <w:rPr>
          <w:rFonts w:ascii="仿宋_GB2312" w:hAnsi="仿宋_GB2312" w:eastAsia="仿宋_GB2312"/>
          <w:b w:val="0"/>
          <w:color w:val="000000"/>
          <w:sz w:val="24"/>
        </w:rPr>
        <w:t>导航测试覆盖走廊、门槛、桌脚、床边和动态障碍等典型路线。评价重点不仅是是否到达目标点，也包括临时障碍出现后的减速、绕行、停止和提示是否依照预设策略。安全测试还应观察防跌落、碰撞停止、低电量回充、滤芯仓卡扣和异常降级等功能。</w:t>
      </w:r>
    </w:p>
    <w:p w14:paraId="52E39657">
      <w:pPr>
        <w:pStyle w:val="4"/>
        <w:numPr>
          <w:ilvl w:val="0"/>
          <w:numId w:val="0"/>
        </w:numPr>
      </w:pPr>
      <w:bookmarkStart w:id="57" w:name="_Toc232968953"/>
      <w:bookmarkStart w:id="58" w:name="_Toc5718"/>
      <w:r>
        <w:rPr>
          <w:rFonts w:hint="eastAsia"/>
          <w:b/>
          <w:color w:val="000000"/>
          <w:sz w:val="28"/>
          <w:lang w:val="en-US" w:eastAsia="zh-CN"/>
        </w:rPr>
        <w:t xml:space="preserve">5.5 </w:t>
      </w:r>
      <w:r>
        <w:rPr>
          <w:rFonts w:ascii="仿宋_GB2312" w:hAnsi="仿宋_GB2312" w:eastAsia="仿宋_GB2312"/>
          <w:b/>
          <w:color w:val="000000"/>
          <w:sz w:val="28"/>
        </w:rPr>
        <w:t>能耗、噪声与维护测试</w:t>
      </w:r>
      <w:bookmarkEnd w:id="57"/>
      <w:bookmarkEnd w:id="58"/>
    </w:p>
    <w:p w14:paraId="000B565C">
      <w:pPr>
        <w:ind w:firstLine="420"/>
        <w:jc w:val="both"/>
      </w:pPr>
      <w:r>
        <w:rPr>
          <w:rFonts w:ascii="仿宋_GB2312" w:hAnsi="仿宋_GB2312" w:eastAsia="仿宋_GB2312"/>
          <w:b w:val="0"/>
          <w:color w:val="000000"/>
          <w:sz w:val="24"/>
        </w:rPr>
        <w:t>能耗测试分为待机、巡航、定点净化、低噪和回充等工况，比较完成相同任务目标所消耗的电量，而非只比较瞬时功率。噪声测试需固定测量位置、背景噪声和风量档位。维护测试则记录进风网罩、滤芯仓和提示界面是否便于操作，并将压差变化与累计运行时间共同作为维护提示依据。</w:t>
      </w:r>
    </w:p>
    <w:p w14:paraId="4DFCB73A">
      <w:pPr>
        <w:pStyle w:val="3"/>
        <w:pageBreakBefore/>
        <w:numPr>
          <w:ilvl w:val="0"/>
          <w:numId w:val="0"/>
        </w:numPr>
        <w:spacing w:before="0" w:beforeAutospacing="0"/>
        <w:ind w:leftChars="0"/>
      </w:pPr>
      <w:bookmarkStart w:id="59" w:name="_Toc9051"/>
      <w:bookmarkStart w:id="60" w:name="_Toc232968954"/>
      <w:r>
        <w:rPr>
          <w:rFonts w:hint="eastAsia"/>
          <w:b/>
          <w:color w:val="000000"/>
          <w:sz w:val="28"/>
          <w:lang w:val="en-US" w:eastAsia="zh-CN"/>
        </w:rPr>
        <w:t xml:space="preserve">6 </w:t>
      </w:r>
      <w:r>
        <w:rPr>
          <w:rFonts w:ascii="仿宋_GB2312" w:hAnsi="仿宋_GB2312" w:eastAsia="仿宋_GB2312"/>
          <w:b/>
          <w:color w:val="000000"/>
          <w:sz w:val="28"/>
        </w:rPr>
        <w:t>产品设计与应用场景</w:t>
      </w:r>
      <w:bookmarkEnd w:id="59"/>
      <w:bookmarkEnd w:id="60"/>
    </w:p>
    <w:p w14:paraId="2E87C1F6">
      <w:pPr>
        <w:pStyle w:val="5"/>
        <w:bidi w:val="0"/>
        <w:outlineLvl w:val="1"/>
      </w:pPr>
      <w:bookmarkStart w:id="61" w:name="_Toc9023"/>
      <w:r>
        <w:t>6.1 产品定位与设计思路</w:t>
      </w:r>
      <w:bookmarkEnd w:id="61"/>
    </w:p>
    <w:p w14:paraId="11E4B7F8">
      <w:pPr>
        <w:pStyle w:val="5"/>
        <w:bidi w:val="0"/>
      </w:pPr>
      <w:bookmarkStart w:id="62" w:name="_Toc4974"/>
      <w:r>
        <w:t>6.1.1 产品定位</w:t>
      </w:r>
      <w:bookmarkEnd w:id="62"/>
    </w:p>
    <w:p w14:paraId="31CBF658">
      <w:pPr>
        <w:bidi w:val="0"/>
        <w:ind w:left="0" w:leftChars="0" w:firstLine="480" w:firstLineChars="200"/>
      </w:pPr>
      <w:r>
        <w:t>“智驭新风”的定位是一款面向家庭空间的智能空气净化机器人。它不是固定摆放在房间角落的传统空气净化器，而是能够根据空气质量变化，在室内主动移动并进行定点净化的空气治理设备。</w:t>
      </w:r>
    </w:p>
    <w:p w14:paraId="34B35F3F">
      <w:pPr>
        <w:bidi w:val="0"/>
        <w:ind w:left="0" w:leftChars="0" w:firstLine="480" w:firstLineChars="200"/>
      </w:pPr>
      <w:r>
        <w:t>家庭空气污染具有明显的动态性。厨房烹饪、宠物活动、新家具释放、人员聚集和夜间睡眠等生活行为，都会使污染物在不同位置、不同时间出现变化。污染不一定集中在净化器附近，而可能出现在厨房门口、沙发旁、宠物活动区、床边或家具周围。如果设备只能固定运行，就容易出现污染热点和净化位置不匹配的问题。</w:t>
      </w:r>
    </w:p>
    <w:p w14:paraId="40EF5B11">
      <w:pPr>
        <w:bidi w:val="0"/>
        <w:ind w:left="0" w:leftChars="0" w:firstLine="480" w:firstLineChars="200"/>
      </w:pPr>
      <w:r>
        <w:t>因此，我们关注的重点不是单纯提高某一个滤芯参数，而是让净化设备具备主动服务能力。当空气质量出现异常时，机器人能够判断污染大致位置，并在安全可达的条件下靠近目标区域，完成更有针对性的净化任务。</w:t>
      </w:r>
    </w:p>
    <w:p w14:paraId="5099C64B">
      <w:pPr>
        <w:pStyle w:val="5"/>
        <w:bidi w:val="0"/>
      </w:pPr>
      <w:bookmarkStart w:id="63" w:name="_Toc1343"/>
      <w:r>
        <w:t>6.1.2 设计思路</w:t>
      </w:r>
      <w:bookmarkEnd w:id="63"/>
    </w:p>
    <w:p w14:paraId="0100B33D">
      <w:pPr>
        <w:bidi w:val="0"/>
        <w:ind w:left="0" w:leftChars="0" w:firstLine="480" w:firstLineChars="200"/>
      </w:pPr>
      <w:r>
        <w:t>本作品的设计思路可以概括为“感知空气变化，判断污染区域，移动到合适位置，进行定点净化，再把结果反馈给用户”。</w:t>
      </w:r>
    </w:p>
    <w:p w14:paraId="3D77CAC7">
      <w:pPr>
        <w:bidi w:val="0"/>
        <w:ind w:left="0" w:leftChars="0" w:firstLine="480" w:firstLineChars="200"/>
      </w:pPr>
      <w:r>
        <w:t>设备首先通过空气传感器采集 PM2.5、VOCs、CO₂、温湿度等数据，并结合机器人所在位置判断空气状态变化。当某一区域污染指标明显升高时，系统根据房间地图、障碍物、电量和用户设置选择目标点。机器人到达目标区域后，按照场景需要调整风机档位和运行时间。任务结束后，设备再次采样，并通过灯光、语音或移动端界面反馈空气变化和维护提示。</w:t>
      </w:r>
    </w:p>
    <w:p w14:paraId="26B93A0F">
      <w:pPr>
        <w:bidi w:val="0"/>
        <w:ind w:left="0" w:leftChars="0" w:firstLine="480" w:firstLineChars="200"/>
      </w:pPr>
      <w:r>
        <w:t>因此，移动功能并不是为了展示设备会走，而是为了让净化位置更接近污染热点。设备移动的目的，是让净化器更接近真正需要处理的位置。</w:t>
      </w:r>
    </w:p>
    <w:p w14:paraId="250F990B">
      <w:pPr>
        <w:pStyle w:val="4"/>
        <w:bidi w:val="0"/>
      </w:pPr>
      <w:bookmarkStart w:id="64" w:name="_Toc29412"/>
      <w:r>
        <w:t>6.2 产品新颖性</w:t>
      </w:r>
      <w:bookmarkEnd w:id="64"/>
    </w:p>
    <w:p w14:paraId="11A499A7">
      <w:pPr>
        <w:pStyle w:val="5"/>
        <w:bidi w:val="0"/>
      </w:pPr>
      <w:bookmarkStart w:id="65" w:name="_Toc535"/>
      <w:r>
        <w:t>6.2.1 从固定净化转向主动定点净化</w:t>
      </w:r>
      <w:bookmarkEnd w:id="65"/>
    </w:p>
    <w:p w14:paraId="7075752B">
      <w:pPr>
        <w:bidi w:val="0"/>
        <w:ind w:left="0" w:leftChars="0" w:firstLine="480" w:firstLineChars="200"/>
      </w:pPr>
      <w:r>
        <w:t>传统空气净化器通常依靠空气自然循环或风机循环来处理污染，设备放在哪里，就主要服务哪里。对于整体空气维护来说，这种方式比较稳定，但面对家庭中的局部污染热点时，响应不够灵活。</w:t>
      </w:r>
    </w:p>
    <w:p w14:paraId="3D82A01E">
      <w:pPr>
        <w:bidi w:val="0"/>
        <w:ind w:left="0" w:leftChars="0" w:firstLine="480" w:firstLineChars="200"/>
      </w:pPr>
      <w:r>
        <w:t>相对固定式净化器，“智驭新风”</w:t>
      </w:r>
      <w:r>
        <w:rPr>
          <w:rFonts w:hint="eastAsia"/>
          <w:lang w:val="en-US" w:eastAsia="zh-CN"/>
        </w:rPr>
        <w:t>更强调</w:t>
      </w:r>
      <w:r>
        <w:t>把移动能力和净化任务结合起来。机器人可以根据空气数据和空间位置，主动接近污染源或污染扩散路径。例如厨房烹饪后，污染物可能从厨房向餐厅和客厅扩散，设备可以停靠在餐厨过渡区域进行短时强化净化；养宠家庭中，毛发和皮屑容易集中在地面附近，设备可以靠近宠物活动区进行重点处理。</w:t>
      </w:r>
    </w:p>
    <w:p w14:paraId="678F7B65">
      <w:pPr>
        <w:bidi w:val="0"/>
        <w:ind w:left="0" w:leftChars="0" w:firstLine="480" w:firstLineChars="200"/>
      </w:pPr>
      <w:r>
        <w:t>这种方式改变了传统空气净化器“被动等待空气流过来”的工作状态，使设备具备了主动寻找服务区域的能力。</w:t>
      </w:r>
    </w:p>
    <w:p w14:paraId="34E15717">
      <w:pPr>
        <w:pStyle w:val="5"/>
        <w:bidi w:val="0"/>
      </w:pPr>
      <w:bookmarkStart w:id="66" w:name="_Toc10181"/>
      <w:r>
        <w:t>6.2.2 从单点空气数值转向空间化判断</w:t>
      </w:r>
      <w:bookmarkEnd w:id="66"/>
    </w:p>
    <w:p w14:paraId="45727867">
      <w:pPr>
        <w:bidi w:val="0"/>
        <w:ind w:left="0" w:leftChars="0" w:firstLine="480" w:firstLineChars="200"/>
      </w:pPr>
      <w:r>
        <w:t>普通空气净化器通常只显示一个空气质量数值或颜色等级，用户只能知道空气变好或变差，却很难知道问题可能出在哪里。本作品把空气数据和机器人位置联系起来，可以根据不同位置的采样结果形成污染热力图。</w:t>
      </w:r>
    </w:p>
    <w:p w14:paraId="7FE9F11C">
      <w:pPr>
        <w:bidi w:val="0"/>
        <w:ind w:left="0" w:leftChars="0" w:firstLine="480" w:firstLineChars="200"/>
      </w:pPr>
      <w:r>
        <w:t>污染热力图并不是为了精确还原室内空气流场，而是帮助设备和用户判断哪些区域更容易出现空气问题。比如厨房门口是否经常在饭后污染升高，宠物活动区是否容易积累毛屑和扬尘，新家具附近是否长期存在气态污染物波动。这些空间信息能够帮助机器人选择更合理的净化位置，也能让用户更清楚地理解家庭空气问题的来源。</w:t>
      </w:r>
    </w:p>
    <w:p w14:paraId="5CE0C319">
      <w:pPr>
        <w:pStyle w:val="5"/>
        <w:bidi w:val="0"/>
      </w:pPr>
      <w:bookmarkStart w:id="67" w:name="_Toc27095"/>
      <w:r>
        <w:t>6.2.3 从单一滤芯功能转向复合净化结构</w:t>
      </w:r>
      <w:bookmarkEnd w:id="67"/>
    </w:p>
    <w:p w14:paraId="4E5E031A">
      <w:pPr>
        <w:bidi w:val="0"/>
        <w:ind w:left="0" w:leftChars="0" w:firstLine="480" w:firstLineChars="200"/>
      </w:pPr>
      <w:r>
        <w:t>本作品采用 MOF 复合滤芯，但它并不是孤立地作为材料卖点存在，而是与整机结构共同完成空气处理任务。滤芯中的预过滤层主要拦截毛发、皮屑和较大颗粒物；颗粒物捕集层用于处理细颗粒污染；MOF 功能层用于增强对部分气态污染物和异味分子的吸附能力。</w:t>
      </w:r>
    </w:p>
    <w:p w14:paraId="5502C759">
      <w:pPr>
        <w:bidi w:val="0"/>
        <w:ind w:left="0" w:leftChars="0" w:firstLine="480" w:firstLineChars="200"/>
      </w:pPr>
      <w:r>
        <w:t>同时，低位进风结构更适合处理近地层扬尘、宠物毛屑和皮屑等污染物；顶部出风可以减少强风直接吹向人体，提高家庭使用时的舒适性。这样，滤芯、风道和移动位置之间形成了配合关系，而不是简单把材料堆叠在一起。</w:t>
      </w:r>
    </w:p>
    <w:p w14:paraId="66C9553C">
      <w:pPr>
        <w:pStyle w:val="5"/>
        <w:bidi w:val="0"/>
      </w:pPr>
      <w:bookmarkStart w:id="68" w:name="_Toc17275"/>
      <w:r>
        <w:t xml:space="preserve">6.2.4 </w:t>
      </w:r>
      <w:bookmarkEnd w:id="68"/>
      <w:r>
        <w:t>让用户看懂设备行为</w:t>
      </w:r>
    </w:p>
    <w:p w14:paraId="265BB53D">
      <w:pPr>
        <w:bidi w:val="0"/>
        <w:ind w:left="0" w:leftChars="0" w:firstLine="480" w:firstLineChars="200"/>
      </w:pPr>
      <w:r>
        <w:t>家用智能设备如果只是自动运行，却不告诉用户原因，容易让用户产生不信任感。空气净化机器人尤其如此，因为它会在家庭空间中移动，用户需要知道它为什么移动、正在处理哪里、是否需要人工干预。</w:t>
      </w:r>
    </w:p>
    <w:p w14:paraId="7D4AD982">
      <w:pPr>
        <w:bidi w:val="0"/>
        <w:ind w:left="0" w:leftChars="0" w:firstLine="480" w:firstLineChars="200"/>
      </w:pPr>
      <w:r>
        <w:t>本作品通过环形提示灯、语音和移动端界面进行反馈。灯光可以显示待机、巡航、净化、异常和维护等状态；语音适合完成简单控制；移动端可以显示空气趋势、任务记录、滤芯状态和维护提醒。用户不必了解内部算法，但可以知道设备当前的工作原因和处理结果。</w:t>
      </w:r>
    </w:p>
    <w:p w14:paraId="1F17161D">
      <w:pPr>
        <w:pStyle w:val="4"/>
        <w:bidi w:val="0"/>
      </w:pPr>
      <w:bookmarkStart w:id="69" w:name="_Toc27504"/>
      <w:r>
        <w:t>6.3 潜在应用背景</w:t>
      </w:r>
      <w:bookmarkEnd w:id="69"/>
    </w:p>
    <w:p w14:paraId="7FE3CDDE">
      <w:pPr>
        <w:pStyle w:val="5"/>
        <w:bidi w:val="0"/>
      </w:pPr>
      <w:bookmarkStart w:id="70" w:name="_Toc22431"/>
      <w:r>
        <w:t>6.3.1 厨房烹饪场景</w:t>
      </w:r>
      <w:bookmarkEnd w:id="70"/>
    </w:p>
    <w:p w14:paraId="4C98A86D">
      <w:pPr>
        <w:bidi w:val="0"/>
        <w:ind w:left="0" w:leftChars="0" w:firstLine="480" w:firstLineChars="200"/>
      </w:pPr>
      <w:r>
        <w:t>厨房烹饪后容易产生短时颗粒物、油烟残留和异味。即使使用油烟机，也可能有一部分污染物扩散到厨房门口、餐厅或客厅。固定式净化器如果距离厨房较远，往往需要等污染物扩散到设备附近后才能处理。</w:t>
      </w:r>
    </w:p>
    <w:p w14:paraId="648F8CEB">
      <w:pPr>
        <w:bidi w:val="0"/>
        <w:ind w:left="0" w:leftChars="0" w:firstLine="480" w:firstLineChars="200"/>
      </w:pPr>
      <w:r>
        <w:t>在这一场景中，机器人可以检测空气指标变化，并移动到厨房门口或餐厨过渡区域进行短时强化净化。这样可以更直接地处理污染扩散路径上的空气问题。需要注意的是，设备不能替代油烟机和燃气报警器，也不应靠近明火、高温、积水和油污严重区域。</w:t>
      </w:r>
    </w:p>
    <w:p w14:paraId="29A73E6B">
      <w:pPr>
        <w:pStyle w:val="5"/>
        <w:bidi w:val="0"/>
      </w:pPr>
      <w:bookmarkStart w:id="71" w:name="_Toc7899"/>
      <w:r>
        <w:t>6.3.2 卧室夜间场景</w:t>
      </w:r>
      <w:bookmarkEnd w:id="71"/>
    </w:p>
    <w:p w14:paraId="660BFDFC">
      <w:pPr>
        <w:bidi w:val="0"/>
        <w:ind w:left="0" w:leftChars="0" w:firstLine="480" w:firstLineChars="200"/>
      </w:pPr>
      <w:r>
        <w:t>卧室夜间更关注低噪、低亮度和少打扰。人在睡眠状态下对噪声、灯光和气流比较敏感，因此设备不能只追求高风量运行。</w:t>
      </w:r>
    </w:p>
    <w:p w14:paraId="7D9B139C">
      <w:pPr>
        <w:bidi w:val="0"/>
        <w:ind w:left="0" w:leftChars="0" w:firstLine="480" w:firstLineChars="200"/>
      </w:pPr>
      <w:r>
        <w:t>在卧室场景中，机器人可以在睡前完成空气状态巡查，夜间则进入低噪模式，减少移动和提示频率。如果空气质量轻微波动，设备可以采用低风量维持；如果 CO₂ 长时间升高，应提醒用户适当通风，而不是单纯提高净化档位。这一点能体现设备在夜间使用时的克制性，而不是一味追求高风量。</w:t>
      </w:r>
    </w:p>
    <w:p w14:paraId="60BB2635">
      <w:pPr>
        <w:pStyle w:val="5"/>
        <w:bidi w:val="0"/>
      </w:pPr>
      <w:bookmarkStart w:id="72" w:name="_Toc15871"/>
      <w:r>
        <w:t>6.3.3 新装修与新家具场景</w:t>
      </w:r>
      <w:bookmarkEnd w:id="72"/>
    </w:p>
    <w:p w14:paraId="3E270D0B">
      <w:pPr>
        <w:bidi w:val="0"/>
        <w:ind w:left="0" w:leftChars="0" w:firstLine="480" w:firstLineChars="200"/>
      </w:pPr>
      <w:r>
        <w:t>新装修住房或新家具周围可能存在持续释放型污染。普通用户很难判断污染是否集中在某个家具或某个角落，也难以持续记录空气变化。</w:t>
      </w:r>
    </w:p>
    <w:p w14:paraId="455BEDA2">
      <w:pPr>
        <w:bidi w:val="0"/>
      </w:pPr>
      <w:r>
        <w:t>在这一场景中，机器人可以围绕衣柜、书桌、床头柜等疑似释放点进行巡查采样，记录不同区域的 VOCs 变化趋势。如果某一区域长期偏高，设备可以提示用户加强通风或进行专业检测。这里的重点不是承诺彻底清除装修污染，而是帮助用户发现异常位置、观察变化趋势，并配合源头治理和专业检测。</w:t>
      </w:r>
    </w:p>
    <w:p w14:paraId="4B8027B1">
      <w:pPr>
        <w:pStyle w:val="5"/>
        <w:bidi w:val="0"/>
      </w:pPr>
      <w:bookmarkStart w:id="73" w:name="_Toc31101"/>
      <w:r>
        <w:t>6.3.4 养宠家庭场景</w:t>
      </w:r>
      <w:bookmarkEnd w:id="73"/>
    </w:p>
    <w:p w14:paraId="1EFA32A5">
      <w:pPr>
        <w:bidi w:val="0"/>
        <w:ind w:left="0" w:leftChars="0" w:firstLine="480" w:firstLineChars="200"/>
      </w:pPr>
      <w:r>
        <w:t>养宠家庭中的毛发、皮屑、猫砂扬尘和异味往往集中在地面附近、宠物窝、沙发旁和门口区域。传统空气净化器如果进风位置较高，或者距离宠物活动区较远，对这些近地层污染处理不够直接。</w:t>
      </w:r>
    </w:p>
    <w:p w14:paraId="0A631BA5">
      <w:pPr>
        <w:bidi w:val="0"/>
        <w:ind w:left="0" w:leftChars="0" w:firstLine="480" w:firstLineChars="200"/>
      </w:pPr>
      <w:r>
        <w:t>本作品的低位进风结构适合处理这类污染。机器人可以靠近宠物活动区进行定点净化，预过滤层可以优先拦截毛发和较大颗粒物。当进风网罩堵塞或滤芯负担加重时，设备可以提醒用户清理维护。运行时，机器人还需要避让宠物，保持低速移动，避免惊扰或碰撞。</w:t>
      </w:r>
    </w:p>
    <w:p w14:paraId="746F96F2">
      <w:pPr>
        <w:pStyle w:val="5"/>
        <w:bidi w:val="0"/>
      </w:pPr>
      <w:bookmarkStart w:id="74" w:name="_Toc22002"/>
      <w:r>
        <w:t>6.3.5 老人、儿童和敏感人群家庭场景</w:t>
      </w:r>
      <w:bookmarkEnd w:id="74"/>
    </w:p>
    <w:p w14:paraId="180D1D4F">
      <w:pPr>
        <w:bidi w:val="0"/>
        <w:ind w:left="0" w:leftChars="0" w:firstLine="480" w:firstLineChars="200"/>
      </w:pPr>
      <w:r>
        <w:t>老人、儿童和呼吸道敏感人群对空气质量变化更敏感，也更需要设备运行稳定、安全和易操作。本作品可以通过低速移动、防碰撞、异常停止、滤芯维护提醒等设计，提高家庭使用的安全性。</w:t>
      </w:r>
    </w:p>
    <w:p w14:paraId="2756F3F9">
      <w:pPr>
        <w:bidi w:val="0"/>
        <w:ind w:left="0" w:leftChars="0" w:firstLine="480" w:firstLineChars="200"/>
      </w:pPr>
      <w:r>
        <w:t>在儿童房或老人房中，设备可以进行定时巡查和低噪净化。如果空气质量异常，先进行辅助处理，并通过移动端提醒家人。如果污染长期没有改善，则提示检查污染源或进行通风。对于这类家庭，产品价值不只是净化空气，也包括减少用户主动操作和判断的负担。</w:t>
      </w:r>
    </w:p>
    <w:p w14:paraId="7127CE13">
      <w:pPr>
        <w:ind w:firstLine="420"/>
        <w:jc w:val="center"/>
      </w:pPr>
      <w:r>
        <w:rPr>
          <w:rFonts w:ascii="仿宋_GB2312" w:hAnsi="仿宋_GB2312" w:eastAsia="仿宋_GB2312"/>
          <w:b w:val="0"/>
          <w:color w:val="000000"/>
          <w:sz w:val="21"/>
        </w:rPr>
        <w:t>表</w:t>
      </w:r>
      <w:r>
        <w:rPr>
          <w:rFonts w:hint="eastAsia"/>
          <w:b w:val="0"/>
          <w:color w:val="000000"/>
          <w:sz w:val="21"/>
          <w:lang w:val="en-US" w:eastAsia="zh-CN"/>
        </w:rPr>
        <w:t>4</w:t>
      </w:r>
      <w:r>
        <w:rPr>
          <w:rFonts w:ascii="仿宋_GB2312" w:hAnsi="仿宋_GB2312" w:eastAsia="仿宋_GB2312"/>
          <w:b w:val="0"/>
          <w:color w:val="000000"/>
          <w:sz w:val="21"/>
        </w:rPr>
        <w:t xml:space="preserve"> 典型场景与服务方式</w:t>
      </w:r>
    </w:p>
    <w:tbl>
      <w:tblPr>
        <w:tblStyle w:val="36"/>
        <w:tblW w:w="0" w:type="auto"/>
        <w:jc w:val="center"/>
        <w:tblLayout w:type="fixed"/>
        <w:tblCellMar>
          <w:top w:w="0" w:type="dxa"/>
          <w:left w:w="108" w:type="dxa"/>
          <w:bottom w:w="0" w:type="dxa"/>
          <w:right w:w="108" w:type="dxa"/>
        </w:tblCellMar>
      </w:tblPr>
      <w:tblGrid>
        <w:gridCol w:w="2019"/>
        <w:gridCol w:w="3300"/>
        <w:gridCol w:w="4674"/>
      </w:tblGrid>
      <w:tr w14:paraId="60999F3F">
        <w:tblPrEx>
          <w:tblCellMar>
            <w:top w:w="0" w:type="dxa"/>
            <w:left w:w="108" w:type="dxa"/>
            <w:bottom w:w="0" w:type="dxa"/>
            <w:right w:w="108" w:type="dxa"/>
          </w:tblCellMar>
        </w:tblPrEx>
        <w:trPr>
          <w:cantSplit/>
          <w:jc w:val="center"/>
        </w:trPr>
        <w:tc>
          <w:tcPr>
            <w:tcW w:w="2019" w:type="dxa"/>
            <w:tcBorders>
              <w:top w:val="single" w:color="000000" w:sz="10" w:space="0"/>
              <w:left w:val="nil"/>
              <w:bottom w:val="single" w:color="000000" w:sz="6" w:space="0"/>
              <w:right w:val="nil"/>
            </w:tcBorders>
            <w:shd w:val="clear" w:color="auto" w:fill="FFFFFF" w:themeFill="background1"/>
            <w:tcMar>
              <w:top w:w="70" w:type="dxa"/>
              <w:left w:w="90" w:type="dxa"/>
              <w:bottom w:w="70" w:type="dxa"/>
              <w:right w:w="90" w:type="dxa"/>
            </w:tcMar>
            <w:vAlign w:val="center"/>
          </w:tcPr>
          <w:p w14:paraId="1F199FAC">
            <w:pPr>
              <w:keepLines/>
              <w:jc w:val="left"/>
              <w:rPr>
                <w:b/>
                <w:bCs/>
              </w:rPr>
            </w:pPr>
            <w:r>
              <w:rPr>
                <w:rFonts w:ascii="仿宋_GB2312" w:hAnsi="仿宋_GB2312" w:eastAsia="仿宋_GB2312"/>
                <w:b/>
                <w:bCs/>
                <w:color w:val="000000"/>
                <w:sz w:val="24"/>
              </w:rPr>
              <w:t>场景</w:t>
            </w:r>
          </w:p>
        </w:tc>
        <w:tc>
          <w:tcPr>
            <w:tcW w:w="3300" w:type="dxa"/>
            <w:tcBorders>
              <w:top w:val="single" w:color="000000" w:sz="10" w:space="0"/>
              <w:left w:val="nil"/>
              <w:bottom w:val="single" w:color="000000" w:sz="6" w:space="0"/>
              <w:right w:val="nil"/>
            </w:tcBorders>
            <w:shd w:val="clear" w:color="auto" w:fill="FFFFFF" w:themeFill="background1"/>
            <w:tcMar>
              <w:top w:w="70" w:type="dxa"/>
              <w:left w:w="90" w:type="dxa"/>
              <w:bottom w:w="70" w:type="dxa"/>
              <w:right w:w="90" w:type="dxa"/>
            </w:tcMar>
            <w:vAlign w:val="center"/>
          </w:tcPr>
          <w:p w14:paraId="350F4B33">
            <w:pPr>
              <w:keepLines/>
              <w:jc w:val="left"/>
              <w:rPr>
                <w:b/>
                <w:bCs/>
              </w:rPr>
            </w:pPr>
            <w:r>
              <w:rPr>
                <w:rFonts w:ascii="仿宋_GB2312" w:hAnsi="仿宋_GB2312" w:eastAsia="仿宋_GB2312"/>
                <w:b/>
                <w:bCs/>
                <w:color w:val="000000"/>
                <w:sz w:val="24"/>
              </w:rPr>
              <w:t>主要需求</w:t>
            </w:r>
          </w:p>
        </w:tc>
        <w:tc>
          <w:tcPr>
            <w:tcW w:w="4674" w:type="dxa"/>
            <w:tcBorders>
              <w:top w:val="single" w:color="000000" w:sz="10" w:space="0"/>
              <w:left w:val="nil"/>
              <w:bottom w:val="single" w:color="000000" w:sz="6" w:space="0"/>
              <w:right w:val="nil"/>
            </w:tcBorders>
            <w:shd w:val="clear" w:color="auto" w:fill="FFFFFF" w:themeFill="background1"/>
            <w:tcMar>
              <w:top w:w="70" w:type="dxa"/>
              <w:left w:w="90" w:type="dxa"/>
              <w:bottom w:w="70" w:type="dxa"/>
              <w:right w:w="90" w:type="dxa"/>
            </w:tcMar>
            <w:vAlign w:val="center"/>
          </w:tcPr>
          <w:p w14:paraId="26C4A278">
            <w:pPr>
              <w:keepLines/>
              <w:jc w:val="left"/>
              <w:rPr>
                <w:b/>
                <w:bCs/>
              </w:rPr>
            </w:pPr>
            <w:r>
              <w:rPr>
                <w:rFonts w:ascii="仿宋_GB2312" w:hAnsi="仿宋_GB2312" w:eastAsia="仿宋_GB2312"/>
                <w:b/>
                <w:bCs/>
                <w:color w:val="000000"/>
                <w:sz w:val="24"/>
              </w:rPr>
              <w:t>样机服务方式</w:t>
            </w:r>
          </w:p>
        </w:tc>
      </w:tr>
      <w:tr w14:paraId="490C851E">
        <w:tblPrEx>
          <w:tblCellMar>
            <w:top w:w="0" w:type="dxa"/>
            <w:left w:w="108" w:type="dxa"/>
            <w:bottom w:w="0" w:type="dxa"/>
            <w:right w:w="108" w:type="dxa"/>
          </w:tblCellMar>
        </w:tblPrEx>
        <w:trPr>
          <w:cantSplit/>
          <w:jc w:val="center"/>
        </w:trPr>
        <w:tc>
          <w:tcPr>
            <w:tcW w:w="2019" w:type="dxa"/>
            <w:tcMar>
              <w:top w:w="70" w:type="dxa"/>
              <w:left w:w="90" w:type="dxa"/>
              <w:bottom w:w="70" w:type="dxa"/>
              <w:right w:w="90" w:type="dxa"/>
            </w:tcMar>
            <w:vAlign w:val="center"/>
          </w:tcPr>
          <w:p w14:paraId="007F22EF">
            <w:pPr>
              <w:keepLines/>
              <w:jc w:val="left"/>
            </w:pPr>
            <w:r>
              <w:rPr>
                <w:rFonts w:ascii="仿宋_GB2312" w:hAnsi="仿宋_GB2312" w:eastAsia="仿宋_GB2312"/>
                <w:b w:val="0"/>
                <w:color w:val="000000"/>
                <w:sz w:val="24"/>
              </w:rPr>
              <w:t>厨房烹饪后</w:t>
            </w:r>
          </w:p>
        </w:tc>
        <w:tc>
          <w:tcPr>
            <w:tcW w:w="3300" w:type="dxa"/>
            <w:tcMar>
              <w:top w:w="70" w:type="dxa"/>
              <w:left w:w="90" w:type="dxa"/>
              <w:bottom w:w="70" w:type="dxa"/>
              <w:right w:w="90" w:type="dxa"/>
            </w:tcMar>
            <w:vAlign w:val="center"/>
          </w:tcPr>
          <w:p w14:paraId="286BE5A5">
            <w:pPr>
              <w:keepLines/>
            </w:pPr>
            <w:r>
              <w:rPr>
                <w:rFonts w:ascii="仿宋_GB2312" w:hAnsi="仿宋_GB2312" w:eastAsia="仿宋_GB2312"/>
                <w:b w:val="0"/>
                <w:color w:val="000000"/>
                <w:sz w:val="24"/>
              </w:rPr>
              <w:t>短时颗粒物与异味扩散</w:t>
            </w:r>
          </w:p>
        </w:tc>
        <w:tc>
          <w:tcPr>
            <w:tcW w:w="4674" w:type="dxa"/>
            <w:tcMar>
              <w:top w:w="70" w:type="dxa"/>
              <w:left w:w="90" w:type="dxa"/>
              <w:bottom w:w="70" w:type="dxa"/>
              <w:right w:w="90" w:type="dxa"/>
            </w:tcMar>
            <w:vAlign w:val="center"/>
          </w:tcPr>
          <w:p w14:paraId="4E55B4F9">
            <w:pPr>
              <w:keepLines/>
            </w:pPr>
            <w:r>
              <w:rPr>
                <w:rFonts w:ascii="仿宋_GB2312" w:hAnsi="仿宋_GB2312" w:eastAsia="仿宋_GB2312"/>
                <w:b w:val="0"/>
                <w:color w:val="000000"/>
                <w:sz w:val="24"/>
              </w:rPr>
              <w:t>靠近扩散路径，短时强化净化</w:t>
            </w:r>
          </w:p>
        </w:tc>
      </w:tr>
      <w:tr w14:paraId="76043687">
        <w:tblPrEx>
          <w:tblCellMar>
            <w:top w:w="0" w:type="dxa"/>
            <w:left w:w="108" w:type="dxa"/>
            <w:bottom w:w="0" w:type="dxa"/>
            <w:right w:w="108" w:type="dxa"/>
          </w:tblCellMar>
        </w:tblPrEx>
        <w:trPr>
          <w:cantSplit/>
          <w:jc w:val="center"/>
        </w:trPr>
        <w:tc>
          <w:tcPr>
            <w:tcW w:w="2019" w:type="dxa"/>
            <w:tcMar>
              <w:top w:w="70" w:type="dxa"/>
              <w:left w:w="90" w:type="dxa"/>
              <w:bottom w:w="70" w:type="dxa"/>
              <w:right w:w="90" w:type="dxa"/>
            </w:tcMar>
            <w:vAlign w:val="center"/>
          </w:tcPr>
          <w:p w14:paraId="005BAB2A">
            <w:pPr>
              <w:keepLines/>
              <w:jc w:val="left"/>
            </w:pPr>
            <w:r>
              <w:rPr>
                <w:rFonts w:ascii="仿宋_GB2312" w:hAnsi="仿宋_GB2312" w:eastAsia="仿宋_GB2312"/>
                <w:b w:val="0"/>
                <w:color w:val="000000"/>
                <w:sz w:val="24"/>
              </w:rPr>
              <w:t>卧室夜间</w:t>
            </w:r>
          </w:p>
        </w:tc>
        <w:tc>
          <w:tcPr>
            <w:tcW w:w="3300" w:type="dxa"/>
            <w:tcMar>
              <w:top w:w="70" w:type="dxa"/>
              <w:left w:w="90" w:type="dxa"/>
              <w:bottom w:w="70" w:type="dxa"/>
              <w:right w:w="90" w:type="dxa"/>
            </w:tcMar>
            <w:vAlign w:val="center"/>
          </w:tcPr>
          <w:p w14:paraId="57C226E0">
            <w:pPr>
              <w:keepLines/>
            </w:pPr>
            <w:r>
              <w:rPr>
                <w:rFonts w:ascii="仿宋_GB2312" w:hAnsi="仿宋_GB2312" w:eastAsia="仿宋_GB2312"/>
                <w:b w:val="0"/>
                <w:color w:val="000000"/>
                <w:sz w:val="24"/>
              </w:rPr>
              <w:t>低噪、柔和、少打扰</w:t>
            </w:r>
          </w:p>
        </w:tc>
        <w:tc>
          <w:tcPr>
            <w:tcW w:w="4674" w:type="dxa"/>
            <w:tcMar>
              <w:top w:w="70" w:type="dxa"/>
              <w:left w:w="90" w:type="dxa"/>
              <w:bottom w:w="70" w:type="dxa"/>
              <w:right w:w="90" w:type="dxa"/>
            </w:tcMar>
            <w:vAlign w:val="center"/>
          </w:tcPr>
          <w:p w14:paraId="4E5A3731">
            <w:pPr>
              <w:keepLines/>
            </w:pPr>
            <w:r>
              <w:rPr>
                <w:rFonts w:ascii="仿宋_GB2312" w:hAnsi="仿宋_GB2312" w:eastAsia="仿宋_GB2312"/>
                <w:b w:val="0"/>
                <w:color w:val="000000"/>
                <w:sz w:val="24"/>
              </w:rPr>
              <w:t>低噪档位与较低提示频率</w:t>
            </w:r>
          </w:p>
        </w:tc>
      </w:tr>
      <w:tr w14:paraId="35AE9D3A">
        <w:tblPrEx>
          <w:tblCellMar>
            <w:top w:w="0" w:type="dxa"/>
            <w:left w:w="108" w:type="dxa"/>
            <w:bottom w:w="0" w:type="dxa"/>
            <w:right w:w="108" w:type="dxa"/>
          </w:tblCellMar>
        </w:tblPrEx>
        <w:trPr>
          <w:cantSplit/>
          <w:jc w:val="center"/>
        </w:trPr>
        <w:tc>
          <w:tcPr>
            <w:tcW w:w="2019" w:type="dxa"/>
            <w:tcMar>
              <w:top w:w="70" w:type="dxa"/>
              <w:left w:w="90" w:type="dxa"/>
              <w:bottom w:w="70" w:type="dxa"/>
              <w:right w:w="90" w:type="dxa"/>
            </w:tcMar>
            <w:vAlign w:val="center"/>
          </w:tcPr>
          <w:p w14:paraId="1AACD02E">
            <w:pPr>
              <w:keepLines/>
              <w:jc w:val="left"/>
            </w:pPr>
            <w:r>
              <w:rPr>
                <w:rFonts w:ascii="仿宋_GB2312" w:hAnsi="仿宋_GB2312" w:eastAsia="仿宋_GB2312"/>
                <w:b w:val="0"/>
                <w:color w:val="000000"/>
                <w:sz w:val="24"/>
              </w:rPr>
              <w:t>新装修住房</w:t>
            </w:r>
          </w:p>
        </w:tc>
        <w:tc>
          <w:tcPr>
            <w:tcW w:w="3300" w:type="dxa"/>
            <w:tcMar>
              <w:top w:w="70" w:type="dxa"/>
              <w:left w:w="90" w:type="dxa"/>
              <w:bottom w:w="70" w:type="dxa"/>
              <w:right w:w="90" w:type="dxa"/>
            </w:tcMar>
            <w:vAlign w:val="center"/>
          </w:tcPr>
          <w:p w14:paraId="72BB475B">
            <w:pPr>
              <w:keepLines/>
            </w:pPr>
            <w:r>
              <w:rPr>
                <w:rFonts w:ascii="仿宋_GB2312" w:hAnsi="仿宋_GB2312" w:eastAsia="仿宋_GB2312"/>
                <w:b w:val="0"/>
                <w:color w:val="000000"/>
                <w:sz w:val="24"/>
              </w:rPr>
              <w:t>疑似 VOCs 释放点关注</w:t>
            </w:r>
          </w:p>
        </w:tc>
        <w:tc>
          <w:tcPr>
            <w:tcW w:w="4674" w:type="dxa"/>
            <w:tcMar>
              <w:top w:w="70" w:type="dxa"/>
              <w:left w:w="90" w:type="dxa"/>
              <w:bottom w:w="70" w:type="dxa"/>
              <w:right w:w="90" w:type="dxa"/>
            </w:tcMar>
            <w:vAlign w:val="center"/>
          </w:tcPr>
          <w:p w14:paraId="15AD5550">
            <w:pPr>
              <w:keepLines/>
            </w:pPr>
            <w:r>
              <w:rPr>
                <w:rFonts w:ascii="仿宋_GB2312" w:hAnsi="仿宋_GB2312" w:eastAsia="仿宋_GB2312"/>
                <w:b w:val="0"/>
                <w:color w:val="000000"/>
                <w:sz w:val="24"/>
              </w:rPr>
              <w:t>围绕家具附近巡航，提醒配合通风</w:t>
            </w:r>
          </w:p>
        </w:tc>
      </w:tr>
      <w:tr w14:paraId="20AAE3ED">
        <w:tblPrEx>
          <w:tblCellMar>
            <w:top w:w="0" w:type="dxa"/>
            <w:left w:w="108" w:type="dxa"/>
            <w:bottom w:w="0" w:type="dxa"/>
            <w:right w:w="108" w:type="dxa"/>
          </w:tblCellMar>
        </w:tblPrEx>
        <w:trPr>
          <w:cantSplit/>
          <w:jc w:val="center"/>
        </w:trPr>
        <w:tc>
          <w:tcPr>
            <w:tcW w:w="2019" w:type="dxa"/>
            <w:tcBorders>
              <w:bottom w:val="single" w:color="000000" w:sz="10" w:space="0"/>
            </w:tcBorders>
            <w:tcMar>
              <w:top w:w="70" w:type="dxa"/>
              <w:left w:w="90" w:type="dxa"/>
              <w:bottom w:w="70" w:type="dxa"/>
              <w:right w:w="90" w:type="dxa"/>
            </w:tcMar>
            <w:vAlign w:val="center"/>
          </w:tcPr>
          <w:p w14:paraId="06D298A2">
            <w:pPr>
              <w:keepLines/>
              <w:jc w:val="left"/>
            </w:pPr>
            <w:r>
              <w:rPr>
                <w:rFonts w:ascii="仿宋_GB2312" w:hAnsi="仿宋_GB2312" w:eastAsia="仿宋_GB2312"/>
                <w:b w:val="0"/>
                <w:color w:val="000000"/>
                <w:sz w:val="24"/>
              </w:rPr>
              <w:t>养宠家庭</w:t>
            </w:r>
          </w:p>
        </w:tc>
        <w:tc>
          <w:tcPr>
            <w:tcW w:w="3300" w:type="dxa"/>
            <w:tcBorders>
              <w:bottom w:val="single" w:color="000000" w:sz="10" w:space="0"/>
            </w:tcBorders>
            <w:tcMar>
              <w:top w:w="70" w:type="dxa"/>
              <w:left w:w="90" w:type="dxa"/>
              <w:bottom w:w="70" w:type="dxa"/>
              <w:right w:w="90" w:type="dxa"/>
            </w:tcMar>
            <w:vAlign w:val="center"/>
          </w:tcPr>
          <w:p w14:paraId="58363B2B">
            <w:pPr>
              <w:keepLines/>
            </w:pPr>
            <w:r>
              <w:rPr>
                <w:rFonts w:ascii="仿宋_GB2312" w:hAnsi="仿宋_GB2312" w:eastAsia="仿宋_GB2312"/>
                <w:b w:val="0"/>
                <w:color w:val="000000"/>
                <w:sz w:val="24"/>
              </w:rPr>
              <w:t>毛屑、皮屑和近地层扬尘</w:t>
            </w:r>
          </w:p>
        </w:tc>
        <w:tc>
          <w:tcPr>
            <w:tcW w:w="4674" w:type="dxa"/>
            <w:tcBorders>
              <w:bottom w:val="single" w:color="000000" w:sz="10" w:space="0"/>
            </w:tcBorders>
            <w:tcMar>
              <w:top w:w="70" w:type="dxa"/>
              <w:left w:w="90" w:type="dxa"/>
              <w:bottom w:w="70" w:type="dxa"/>
              <w:right w:w="90" w:type="dxa"/>
            </w:tcMar>
            <w:vAlign w:val="center"/>
          </w:tcPr>
          <w:p w14:paraId="3388C2EE">
            <w:pPr>
              <w:keepLines/>
            </w:pPr>
            <w:r>
              <w:rPr>
                <w:rFonts w:ascii="仿宋_GB2312" w:hAnsi="仿宋_GB2312" w:eastAsia="仿宋_GB2312"/>
                <w:b w:val="0"/>
                <w:color w:val="000000"/>
                <w:sz w:val="24"/>
              </w:rPr>
              <w:t>低位进风、重点区域定点净化与维护提示</w:t>
            </w:r>
          </w:p>
        </w:tc>
      </w:tr>
    </w:tbl>
    <w:p w14:paraId="56F6CF2B">
      <w:pPr>
        <w:spacing w:after="60"/>
      </w:pPr>
    </w:p>
    <w:p w14:paraId="5CAFEFC7">
      <w:pPr>
        <w:pStyle w:val="4"/>
        <w:bidi w:val="0"/>
      </w:pPr>
      <w:bookmarkStart w:id="75" w:name="_Toc18101"/>
      <w:r>
        <w:t>6.4 使用维护与安全边界</w:t>
      </w:r>
      <w:bookmarkEnd w:id="75"/>
    </w:p>
    <w:p w14:paraId="490A6FDE">
      <w:pPr>
        <w:pStyle w:val="5"/>
        <w:bidi w:val="0"/>
      </w:pPr>
      <w:bookmarkStart w:id="76" w:name="_Toc2362"/>
      <w:r>
        <w:t>6.4.1 使用维护</w:t>
      </w:r>
      <w:bookmarkEnd w:id="76"/>
    </w:p>
    <w:p w14:paraId="6BCB245D">
      <w:pPr>
        <w:bidi w:val="0"/>
        <w:ind w:left="0" w:leftChars="0" w:firstLine="480" w:firstLineChars="200"/>
      </w:pPr>
      <w:r>
        <w:t>设备运行前，应保证室内通道基本畅通，避免地面杂物影响机器人移动。用户可以在移动端设置禁入区，例如灶台附近、浴室门口、宠物食盆周围和电线密集区域。</w:t>
      </w:r>
    </w:p>
    <w:p w14:paraId="2256D0B1">
      <w:pPr>
        <w:bidi w:val="0"/>
        <w:ind w:left="0" w:leftChars="0" w:firstLine="480" w:firstLineChars="200"/>
      </w:pPr>
      <w:r>
        <w:t>滤芯和进风网罩需要定期检查。养宠家庭中，毛发容易附着在进风区域，应根据提示及时清理。滤芯更换不能只依靠使用天数判断，还应结合运行时间、风阻变化和空气处理效果综合判断。</w:t>
      </w:r>
    </w:p>
    <w:p w14:paraId="4C86BF29">
      <w:pPr>
        <w:pStyle w:val="5"/>
        <w:bidi w:val="0"/>
      </w:pPr>
      <w:bookmarkStart w:id="77" w:name="_Toc19885"/>
      <w:r>
        <w:t>6.4.2 安全边界</w:t>
      </w:r>
      <w:bookmarkEnd w:id="77"/>
    </w:p>
    <w:p w14:paraId="52D6AABA">
      <w:pPr>
        <w:bidi w:val="0"/>
        <w:ind w:left="0" w:leftChars="0" w:firstLine="480" w:firstLineChars="200"/>
      </w:pPr>
      <w:r>
        <w:t>本作品的作用是辅助空气治理，不能替代所有环境安全设备。厨房场景中，它不能替代油烟机、燃气报警器和消防设备；新装修场景中，它不能替代专业甲醛检测和源头治理；CO₂ 升高时，它应提示通风，而不是把过滤当作唯一解决方式。</w:t>
      </w:r>
    </w:p>
    <w:p w14:paraId="1F32839D">
      <w:pPr>
        <w:bidi w:val="0"/>
      </w:pPr>
      <w:r>
        <w:t>机器人在运行过程中应优先保证安全。当遇到人员、宠物、障碍物、低电量、轮子卡滞、传感器异常或滤芯仓未闭合等情况时，应停止移动或降低运行强度，并给出清晰提示</w:t>
      </w:r>
      <w:r>
        <w:rPr>
          <w:rFonts w:ascii="宋体" w:hAnsi="宋体" w:eastAsia="宋体" w:cs="宋体"/>
          <w:sz w:val="24"/>
          <w:szCs w:val="24"/>
        </w:rPr>
        <w:t>这些</w:t>
      </w:r>
      <w:r>
        <w:t>边界写清楚后，方案会更可信，也更接近真实家庭使用条件。</w:t>
      </w:r>
    </w:p>
    <w:p w14:paraId="0B3E96B0">
      <w:pPr>
        <w:bidi w:val="0"/>
      </w:pPr>
    </w:p>
    <w:p w14:paraId="5ACB9D61">
      <w:pPr>
        <w:bidi w:val="0"/>
      </w:pPr>
    </w:p>
    <w:p w14:paraId="1E38B456">
      <w:pPr>
        <w:bidi w:val="0"/>
      </w:pPr>
    </w:p>
    <w:p w14:paraId="72511488">
      <w:pPr>
        <w:bidi w:val="0"/>
      </w:pPr>
    </w:p>
    <w:p w14:paraId="7D390820">
      <w:pPr>
        <w:bidi w:val="0"/>
      </w:pPr>
    </w:p>
    <w:p w14:paraId="12217EC6">
      <w:pPr>
        <w:bidi w:val="0"/>
      </w:pPr>
    </w:p>
    <w:p w14:paraId="4861F582">
      <w:pPr>
        <w:bidi w:val="0"/>
      </w:pPr>
    </w:p>
    <w:p w14:paraId="767CDA2D">
      <w:pPr>
        <w:pStyle w:val="3"/>
        <w:bidi w:val="0"/>
        <w:rPr>
          <w:rFonts w:hint="eastAsia"/>
          <w:b w:val="0"/>
          <w:color w:val="000000"/>
          <w:lang w:val="en-US" w:eastAsia="zh-CN"/>
        </w:rPr>
      </w:pPr>
      <w:bookmarkStart w:id="78" w:name="_Toc15617"/>
      <w:r>
        <w:rPr>
          <w:rFonts w:hint="eastAsia"/>
          <w:lang w:val="en-US" w:eastAsia="zh-CN"/>
        </w:rPr>
        <w:t>7 创新特点与应用前景</w:t>
      </w:r>
      <w:bookmarkEnd w:id="78"/>
    </w:p>
    <w:p w14:paraId="6A1367B3">
      <w:pPr>
        <w:pStyle w:val="4"/>
        <w:bidi w:val="0"/>
        <w:rPr>
          <w:rFonts w:hint="default"/>
          <w:lang w:val="en-US" w:eastAsia="zh-CN"/>
        </w:rPr>
      </w:pPr>
      <w:bookmarkStart w:id="79" w:name="_Toc22249"/>
      <w:r>
        <w:rPr>
          <w:rFonts w:hint="eastAsia"/>
          <w:lang w:val="en-US" w:eastAsia="zh-CN"/>
        </w:rPr>
        <w:t>7.1 材料、移动与决策协同创新</w:t>
      </w:r>
      <w:bookmarkEnd w:id="79"/>
    </w:p>
    <w:p w14:paraId="089D3766">
      <w:pPr>
        <w:ind w:firstLine="420"/>
        <w:jc w:val="both"/>
      </w:pPr>
      <w:r>
        <w:rPr>
          <w:rFonts w:ascii="仿宋_GB2312" w:hAnsi="仿宋_GB2312" w:eastAsia="仿宋_GB2312"/>
          <w:b w:val="0"/>
          <w:color w:val="000000"/>
          <w:sz w:val="24"/>
        </w:rPr>
        <w:t>项目的特点不在于单独使用某种材料、传感器或轮式底盘，而在于把它们围绕家庭动态污染这一问题协同起来：复合滤芯提供净化基础，低位进风和全向底盘帮助设备接近合适位置，污染热力图和任务排序决定何时行动，交互与安全策略让行动过程可理解、可中断。</w:t>
      </w:r>
    </w:p>
    <w:p w14:paraId="126307CB">
      <w:pPr>
        <w:pStyle w:val="4"/>
        <w:numPr>
          <w:ilvl w:val="0"/>
          <w:numId w:val="0"/>
        </w:numPr>
      </w:pPr>
      <w:bookmarkStart w:id="80" w:name="_Toc232968960"/>
      <w:bookmarkStart w:id="81" w:name="_Toc14263"/>
      <w:r>
        <w:rPr>
          <w:rFonts w:hint="eastAsia"/>
          <w:b/>
          <w:color w:val="000000"/>
          <w:sz w:val="28"/>
          <w:lang w:val="en-US" w:eastAsia="zh-CN"/>
        </w:rPr>
        <w:t xml:space="preserve">7.2 </w:t>
      </w:r>
      <w:r>
        <w:rPr>
          <w:rFonts w:ascii="仿宋_GB2312" w:hAnsi="仿宋_GB2312" w:eastAsia="仿宋_GB2312"/>
          <w:b/>
          <w:color w:val="000000"/>
          <w:sz w:val="28"/>
        </w:rPr>
        <w:t>产品转化与模块化路径</w:t>
      </w:r>
      <w:bookmarkEnd w:id="80"/>
      <w:bookmarkEnd w:id="81"/>
    </w:p>
    <w:p w14:paraId="7C2EB203">
      <w:pPr>
        <w:ind w:firstLine="420"/>
        <w:jc w:val="both"/>
      </w:pPr>
      <w:r>
        <w:rPr>
          <w:rFonts w:ascii="仿宋_GB2312" w:hAnsi="仿宋_GB2312" w:eastAsia="仿宋_GB2312"/>
          <w:b w:val="0"/>
          <w:color w:val="000000"/>
          <w:sz w:val="24"/>
        </w:rPr>
        <w:t>从样机到产品应先完成基础净化、导航和安全验证，再围绕噪声、耗材成本、维护便利性和用户体验迭代。滤芯、传感器、底盘和控制模块保持相对独立，有利于按应用场景调整配置，也便于后续维修。MOF 材料的使用还需考察批次稳定性、加工难度和长期更换成本，不能只以材料名称作为卖点。</w:t>
      </w:r>
    </w:p>
    <w:p w14:paraId="267010EE">
      <w:pPr>
        <w:pStyle w:val="4"/>
        <w:numPr>
          <w:ilvl w:val="0"/>
          <w:numId w:val="0"/>
        </w:numPr>
      </w:pPr>
      <w:bookmarkStart w:id="82" w:name="_Toc232968961"/>
      <w:bookmarkStart w:id="83" w:name="_Toc5933"/>
      <w:r>
        <w:rPr>
          <w:rFonts w:hint="eastAsia"/>
          <w:b/>
          <w:color w:val="000000"/>
          <w:sz w:val="28"/>
          <w:lang w:val="en-US" w:eastAsia="zh-CN"/>
        </w:rPr>
        <w:t xml:space="preserve">7.3 </w:t>
      </w:r>
      <w:r>
        <w:rPr>
          <w:rFonts w:ascii="仿宋_GB2312" w:hAnsi="仿宋_GB2312" w:eastAsia="仿宋_GB2312"/>
          <w:b/>
          <w:color w:val="000000"/>
          <w:sz w:val="28"/>
        </w:rPr>
        <w:t>社会价值与后续发展方向</w:t>
      </w:r>
      <w:bookmarkEnd w:id="82"/>
      <w:bookmarkEnd w:id="83"/>
    </w:p>
    <w:p w14:paraId="34464D68">
      <w:pPr>
        <w:ind w:firstLine="420"/>
        <w:jc w:val="both"/>
      </w:pPr>
      <w:r>
        <w:rPr>
          <w:rFonts w:ascii="仿宋_GB2312" w:hAnsi="仿宋_GB2312" w:eastAsia="仿宋_GB2312"/>
          <w:b w:val="0"/>
          <w:color w:val="000000"/>
          <w:sz w:val="24"/>
        </w:rPr>
        <w:t>在满足空间尺度、通风条件和维护要求的前提下，移动净化方案可为家庭、小型办公和部分空气质量敏感空间提供按需服务的思路。后续可在已完成的安全和可靠性基础上，研究多设备协同、与智能家居联动以及更完整的环境异常提醒。扩展功能应遵循最小必要的数据采集原则，避免把家庭生活信息作为不透明的算法输入。</w:t>
      </w:r>
    </w:p>
    <w:p w14:paraId="08146B8C">
      <w:pPr>
        <w:pStyle w:val="3"/>
        <w:pageBreakBefore/>
        <w:numPr>
          <w:ilvl w:val="0"/>
          <w:numId w:val="0"/>
        </w:numPr>
        <w:spacing w:before="0" w:beforeAutospacing="0"/>
        <w:ind w:leftChars="0"/>
      </w:pPr>
      <w:bookmarkStart w:id="84" w:name="_Toc232968962"/>
      <w:bookmarkStart w:id="85" w:name="_Toc2774"/>
      <w:r>
        <w:rPr>
          <w:rFonts w:hint="eastAsia"/>
          <w:b/>
          <w:color w:val="000000"/>
          <w:sz w:val="28"/>
          <w:lang w:val="en-US" w:eastAsia="zh-CN"/>
        </w:rPr>
        <w:t xml:space="preserve">8 </w:t>
      </w:r>
      <w:r>
        <w:rPr>
          <w:rFonts w:ascii="仿宋_GB2312" w:hAnsi="仿宋_GB2312" w:eastAsia="仿宋_GB2312"/>
          <w:b/>
          <w:color w:val="000000"/>
          <w:sz w:val="28"/>
        </w:rPr>
        <w:t>结论</w:t>
      </w:r>
      <w:bookmarkEnd w:id="84"/>
      <w:bookmarkEnd w:id="85"/>
    </w:p>
    <w:p w14:paraId="126E8865">
      <w:pPr>
        <w:ind w:firstLine="420"/>
        <w:jc w:val="both"/>
      </w:pPr>
      <w:r>
        <w:rPr>
          <w:rFonts w:ascii="仿宋_GB2312" w:hAnsi="仿宋_GB2312" w:eastAsia="仿宋_GB2312"/>
          <w:b w:val="0"/>
          <w:color w:val="000000"/>
          <w:sz w:val="24"/>
        </w:rPr>
        <w:t>“智驭新风”针对家庭空气污染的动态性，提出了以污染热力图为任务依据的移动净化方案。报告从滤芯分层、低位进风、全向底盘、感知决策、交互安全和测试方法等方面说明了样机的工程路径。它将净化设备由固定位置运行转向根据空间与时间变化开展辅助服务。</w:t>
      </w:r>
    </w:p>
    <w:p w14:paraId="35733673">
      <w:pPr>
        <w:ind w:firstLine="420"/>
        <w:jc w:val="both"/>
      </w:pPr>
      <w:r>
        <w:rPr>
          <w:rFonts w:ascii="仿宋_GB2312" w:hAnsi="仿宋_GB2312" w:eastAsia="仿宋_GB2312"/>
          <w:b w:val="0"/>
          <w:color w:val="000000"/>
          <w:sz w:val="24"/>
        </w:rPr>
        <w:t>现有滤材样品资料为材料选择提供了依据，但整机净化、导航、噪声、能耗和安全表现仍需通过统一条件下的测试确认。下一阶段应以可重复的记录和对照实验为基础，逐项收敛风道、路径、阈值和维护策略，使设计方案能够经受实际使用条件的检验。</w:t>
      </w:r>
    </w:p>
    <w:p w14:paraId="1FFCB69E">
      <w:pPr>
        <w:pStyle w:val="3"/>
      </w:pPr>
      <w:bookmarkStart w:id="86" w:name="_Toc29359"/>
      <w:bookmarkStart w:id="87" w:name="_Toc232968963"/>
      <w:r>
        <w:rPr>
          <w:rFonts w:ascii="仿宋_GB2312" w:hAnsi="仿宋_GB2312" w:eastAsia="仿宋_GB2312"/>
          <w:b/>
          <w:color w:val="000000"/>
          <w:sz w:val="28"/>
        </w:rPr>
        <w:t>参考文献</w:t>
      </w:r>
      <w:bookmarkEnd w:id="86"/>
      <w:bookmarkEnd w:id="87"/>
    </w:p>
    <w:p w14:paraId="3CF680E6">
      <w:pPr>
        <w:keepLines/>
        <w:spacing w:after="60"/>
        <w:rPr>
          <w:sz w:val="21"/>
          <w:szCs w:val="21"/>
        </w:rPr>
      </w:pPr>
      <w:r>
        <w:rPr>
          <w:rFonts w:ascii="仿宋_GB2312" w:hAnsi="仿宋_GB2312" w:eastAsia="仿宋_GB2312"/>
          <w:b w:val="0"/>
          <w:color w:val="000000"/>
          <w:sz w:val="21"/>
          <w:szCs w:val="21"/>
        </w:rPr>
        <w:t>[1] GB/T 18883—2022. 室内空气质量标准[S].</w:t>
      </w:r>
    </w:p>
    <w:p w14:paraId="57BBC58E">
      <w:pPr>
        <w:keepLines/>
        <w:spacing w:after="60"/>
        <w:rPr>
          <w:sz w:val="21"/>
          <w:szCs w:val="21"/>
        </w:rPr>
      </w:pPr>
      <w:r>
        <w:rPr>
          <w:rFonts w:ascii="仿宋_GB2312" w:hAnsi="仿宋_GB2312" w:eastAsia="仿宋_GB2312"/>
          <w:b w:val="0"/>
          <w:color w:val="000000"/>
          <w:sz w:val="21"/>
          <w:szCs w:val="21"/>
        </w:rPr>
        <w:t>[2] 陈兴宇，姚辉，刘红晶，等. Mg-MOF-74 对 CO₂ 吸附的研究进展[J/OL]. 化工新型材料，2026.</w:t>
      </w:r>
    </w:p>
    <w:p w14:paraId="5996B5CC">
      <w:pPr>
        <w:keepLines/>
        <w:spacing w:after="60"/>
        <w:rPr>
          <w:sz w:val="21"/>
          <w:szCs w:val="21"/>
        </w:rPr>
      </w:pPr>
      <w:r>
        <w:rPr>
          <w:rFonts w:ascii="仿宋_GB2312" w:hAnsi="仿宋_GB2312" w:eastAsia="仿宋_GB2312"/>
          <w:b w:val="0"/>
          <w:color w:val="000000"/>
          <w:sz w:val="21"/>
          <w:szCs w:val="21"/>
        </w:rPr>
        <w:t>[3] 陈思佳. MOF 基材料吸附分离聚苯乙烯生产行业排放的典型 VOCs[D]. 广东工业大学，2024.</w:t>
      </w:r>
    </w:p>
    <w:p w14:paraId="05C92B74">
      <w:pPr>
        <w:keepLines/>
        <w:spacing w:after="60"/>
        <w:rPr>
          <w:sz w:val="21"/>
          <w:szCs w:val="21"/>
        </w:rPr>
      </w:pPr>
      <w:r>
        <w:rPr>
          <w:rFonts w:ascii="仿宋_GB2312" w:hAnsi="仿宋_GB2312" w:eastAsia="仿宋_GB2312"/>
          <w:b w:val="0"/>
          <w:color w:val="000000"/>
          <w:sz w:val="21"/>
          <w:szCs w:val="21"/>
        </w:rPr>
        <w:t>[4] 杨迁. 具有新风系统的室内空气净化器的设计与实现[D]. 河北大学，2018.</w:t>
      </w:r>
    </w:p>
    <w:p w14:paraId="1194BA8A">
      <w:pPr>
        <w:keepLines/>
        <w:spacing w:after="60"/>
        <w:rPr>
          <w:sz w:val="21"/>
          <w:szCs w:val="21"/>
        </w:rPr>
      </w:pPr>
      <w:r>
        <w:rPr>
          <w:rFonts w:ascii="仿宋_GB2312" w:hAnsi="仿宋_GB2312" w:eastAsia="仿宋_GB2312"/>
          <w:b w:val="0"/>
          <w:color w:val="000000"/>
          <w:sz w:val="21"/>
          <w:szCs w:val="21"/>
        </w:rPr>
        <w:t>[5] 屈国浩，周兴，靳旭，等. 面向高温应用的压电振动能量收集器设计[J]. 压电与声光，2026，48(01):53-59.</w:t>
      </w:r>
    </w:p>
    <w:p w14:paraId="11C4F8DB">
      <w:pPr>
        <w:keepLines/>
        <w:spacing w:after="60"/>
        <w:rPr>
          <w:sz w:val="21"/>
          <w:szCs w:val="21"/>
        </w:rPr>
      </w:pPr>
      <w:r>
        <w:rPr>
          <w:rFonts w:ascii="仿宋_GB2312" w:hAnsi="仿宋_GB2312" w:eastAsia="仿宋_GB2312"/>
          <w:b w:val="0"/>
          <w:color w:val="000000"/>
          <w:sz w:val="21"/>
          <w:szCs w:val="21"/>
        </w:rPr>
        <w:t>[6] 赵智堃，许雨寒，朱大松，等. 一种便携式振动能量回收装置[J]. 南方农机，2022，53(17):44-46.</w:t>
      </w:r>
    </w:p>
    <w:p w14:paraId="4C8BB04A">
      <w:pPr>
        <w:pStyle w:val="3"/>
      </w:pPr>
      <w:bookmarkStart w:id="88" w:name="_Toc232968964"/>
      <w:bookmarkStart w:id="89" w:name="_Toc18392"/>
      <w:r>
        <w:rPr>
          <w:rFonts w:ascii="仿宋_GB2312" w:hAnsi="仿宋_GB2312" w:eastAsia="仿宋_GB2312"/>
          <w:b/>
          <w:color w:val="000000"/>
          <w:sz w:val="28"/>
        </w:rPr>
        <w:t>附录：专利证书</w:t>
      </w:r>
      <w:bookmarkEnd w:id="88"/>
      <w:bookmarkEnd w:id="89"/>
    </w:p>
    <w:p w14:paraId="40750A58">
      <w:pPr>
        <w:widowControl/>
        <w:suppressAutoHyphens/>
        <w:spacing w:line="360" w:lineRule="auto"/>
        <w:jc w:val="left"/>
        <w:rPr>
          <w:rFonts w:hint="eastAsia" w:ascii="宋体" w:hAnsi="宋体" w:eastAsia="宋体" w:cs="宋体"/>
          <w:kern w:val="0"/>
          <w:sz w:val="24"/>
          <w:lang w:eastAsia="zh-CN"/>
        </w:rPr>
      </w:pPr>
      <w:r>
        <w:rPr>
          <w:rFonts w:hint="eastAsia" w:ascii="宋体" w:hAnsi="宋体" w:eastAsia="宋体" w:cs="宋体"/>
          <w:kern w:val="0"/>
          <w:sz w:val="24"/>
        </w:rPr>
        <w:drawing>
          <wp:inline distT="0" distB="0" distL="114300" distR="114300">
            <wp:extent cx="2748280" cy="3249930"/>
            <wp:effectExtent l="0" t="0" r="10160" b="11430"/>
            <wp:docPr id="1" name="图片 1" descr="60411cef-8415-453e-80c2-7e1c1ba7af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0411cef-8415-453e-80c2-7e1c1ba7af6f"/>
                    <pic:cNvPicPr>
                      <a:picLocks noChangeAspect="1"/>
                    </pic:cNvPicPr>
                  </pic:nvPicPr>
                  <pic:blipFill>
                    <a:blip r:embed="rId27"/>
                    <a:stretch>
                      <a:fillRect/>
                    </a:stretch>
                  </pic:blipFill>
                  <pic:spPr>
                    <a:xfrm>
                      <a:off x="0" y="0"/>
                      <a:ext cx="2748280" cy="3249930"/>
                    </a:xfrm>
                    <a:prstGeom prst="rect">
                      <a:avLst/>
                    </a:prstGeom>
                  </pic:spPr>
                </pic:pic>
              </a:graphicData>
            </a:graphic>
          </wp:inline>
        </w:drawing>
      </w:r>
      <w:r>
        <w:rPr>
          <w:rFonts w:hint="eastAsia" w:ascii="宋体" w:hAnsi="宋体" w:eastAsia="宋体" w:cs="宋体"/>
          <w:kern w:val="0"/>
          <w:sz w:val="24"/>
        </w:rPr>
        <w:t xml:space="preserve">          </w:t>
      </w:r>
      <w:r>
        <w:rPr>
          <w:rFonts w:hint="eastAsia" w:ascii="宋体" w:hAnsi="宋体" w:eastAsia="宋体" w:cs="宋体"/>
          <w:kern w:val="0"/>
          <w:sz w:val="24"/>
          <w:lang w:eastAsia="zh-CN"/>
        </w:rPr>
        <w:drawing>
          <wp:inline distT="0" distB="0" distL="114300" distR="114300">
            <wp:extent cx="2793365" cy="3288665"/>
            <wp:effectExtent l="0" t="0" r="10795" b="3175"/>
            <wp:docPr id="19" name="图片 19" descr="78b6c4f8-f70d-43dc-8e1b-5001c63760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78b6c4f8-f70d-43dc-8e1b-5001c63760d5"/>
                    <pic:cNvPicPr>
                      <a:picLocks noChangeAspect="1"/>
                    </pic:cNvPicPr>
                  </pic:nvPicPr>
                  <pic:blipFill>
                    <a:blip r:embed="rId28"/>
                    <a:stretch>
                      <a:fillRect/>
                    </a:stretch>
                  </pic:blipFill>
                  <pic:spPr>
                    <a:xfrm>
                      <a:off x="0" y="0"/>
                      <a:ext cx="2793365" cy="3288665"/>
                    </a:xfrm>
                    <a:prstGeom prst="rect">
                      <a:avLst/>
                    </a:prstGeom>
                  </pic:spPr>
                </pic:pic>
              </a:graphicData>
            </a:graphic>
          </wp:inline>
        </w:drawing>
      </w:r>
    </w:p>
    <w:p w14:paraId="34FE8E4A">
      <w:pPr>
        <w:widowControl/>
        <w:suppressAutoHyphens/>
        <w:spacing w:line="360" w:lineRule="auto"/>
        <w:jc w:val="left"/>
        <w:rPr>
          <w:rFonts w:hint="eastAsia" w:eastAsia="仿宋_GB2312"/>
          <w:lang w:eastAsia="zh-CN"/>
        </w:rPr>
      </w:pPr>
      <w:r>
        <w:drawing>
          <wp:inline distT="0" distB="0" distL="114300" distR="114300">
            <wp:extent cx="2647315" cy="3567430"/>
            <wp:effectExtent l="0" t="0" r="4445" b="13970"/>
            <wp:docPr id="20" name="图片 20" descr="a451924e-8807-46d8-937c-236968bf2f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a451924e-8807-46d8-937c-236968bf2f55"/>
                    <pic:cNvPicPr>
                      <a:picLocks noChangeAspect="1"/>
                    </pic:cNvPicPr>
                  </pic:nvPicPr>
                  <pic:blipFill>
                    <a:blip r:embed="rId29"/>
                    <a:stretch>
                      <a:fillRect/>
                    </a:stretch>
                  </pic:blipFill>
                  <pic:spPr>
                    <a:xfrm>
                      <a:off x="0" y="0"/>
                      <a:ext cx="2647315" cy="3567430"/>
                    </a:xfrm>
                    <a:prstGeom prst="rect">
                      <a:avLst/>
                    </a:prstGeom>
                  </pic:spPr>
                </pic:pic>
              </a:graphicData>
            </a:graphic>
          </wp:inline>
        </w:drawing>
      </w:r>
      <w:r>
        <w:t xml:space="preserve"> </w:t>
      </w:r>
      <w:r>
        <w:rPr>
          <w:rFonts w:hint="eastAsia"/>
        </w:rPr>
        <w:t xml:space="preserve">          </w:t>
      </w:r>
      <w:r>
        <w:rPr>
          <w:rFonts w:hint="eastAsia" w:eastAsia="仿宋_GB2312"/>
          <w:lang w:eastAsia="zh-CN"/>
        </w:rPr>
        <w:drawing>
          <wp:inline distT="0" distB="0" distL="114300" distR="114300">
            <wp:extent cx="2743200" cy="3632200"/>
            <wp:effectExtent l="0" t="0" r="0" b="10160"/>
            <wp:docPr id="21" name="图片 21" descr="03d08d60-4185-40d2-a846-6c691427b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3d08d60-4185-40d2-a846-6c691427b831"/>
                    <pic:cNvPicPr>
                      <a:picLocks noChangeAspect="1"/>
                    </pic:cNvPicPr>
                  </pic:nvPicPr>
                  <pic:blipFill>
                    <a:blip r:embed="rId30"/>
                    <a:stretch>
                      <a:fillRect/>
                    </a:stretch>
                  </pic:blipFill>
                  <pic:spPr>
                    <a:xfrm>
                      <a:off x="0" y="0"/>
                      <a:ext cx="2743200" cy="3632200"/>
                    </a:xfrm>
                    <a:prstGeom prst="rect">
                      <a:avLst/>
                    </a:prstGeom>
                  </pic:spPr>
                </pic:pic>
              </a:graphicData>
            </a:graphic>
          </wp:inline>
        </w:drawing>
      </w:r>
    </w:p>
    <w:p w14:paraId="60E87D16">
      <w:pPr>
        <w:widowControl/>
        <w:suppressAutoHyphens/>
        <w:spacing w:line="360" w:lineRule="auto"/>
        <w:jc w:val="left"/>
        <w:rPr>
          <w:rFonts w:hint="eastAsia" w:ascii="宋体" w:hAnsi="宋体" w:eastAsia="宋体" w:cs="宋体"/>
          <w:kern w:val="0"/>
          <w:sz w:val="24"/>
          <w:lang w:eastAsia="zh-CN"/>
        </w:rPr>
      </w:pPr>
      <w:r>
        <w:rPr>
          <w:rFonts w:hint="eastAsia" w:ascii="宋体" w:hAnsi="宋体" w:eastAsia="宋体" w:cs="宋体"/>
          <w:kern w:val="0"/>
          <w:sz w:val="24"/>
          <w:lang w:eastAsia="zh-CN"/>
        </w:rPr>
        <w:drawing>
          <wp:inline distT="0" distB="0" distL="114300" distR="114300">
            <wp:extent cx="2419985" cy="3247390"/>
            <wp:effectExtent l="0" t="0" r="3175" b="13970"/>
            <wp:docPr id="22" name="图片 22" descr="18020cd2-892d-41ea-8555-907e7955bc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8020cd2-892d-41ea-8555-907e7955bc86"/>
                    <pic:cNvPicPr>
                      <a:picLocks noChangeAspect="1"/>
                    </pic:cNvPicPr>
                  </pic:nvPicPr>
                  <pic:blipFill>
                    <a:blip r:embed="rId31"/>
                    <a:stretch>
                      <a:fillRect/>
                    </a:stretch>
                  </pic:blipFill>
                  <pic:spPr>
                    <a:xfrm>
                      <a:off x="0" y="0"/>
                      <a:ext cx="2419985" cy="3247390"/>
                    </a:xfrm>
                    <a:prstGeom prst="rect">
                      <a:avLst/>
                    </a:prstGeom>
                  </pic:spPr>
                </pic:pic>
              </a:graphicData>
            </a:graphic>
          </wp:inline>
        </w:drawing>
      </w:r>
    </w:p>
    <w:p w14:paraId="227AB276">
      <w:pPr>
        <w:ind w:firstLine="420"/>
        <w:jc w:val="both"/>
      </w:pPr>
    </w:p>
    <w:sectPr>
      <w:footerReference r:id="rId5" w:type="default"/>
      <w:pgSz w:w="12240" w:h="15840"/>
      <w:pgMar w:top="1134" w:right="1134" w:bottom="1134" w:left="1134" w:header="567" w:footer="567" w:gutter="0"/>
      <w:pgBorders>
        <w:top w:val="none" w:sz="0" w:space="0"/>
        <w:left w:val="none" w:sz="0" w:space="0"/>
        <w:bottom w:val="none" w:sz="0" w:space="0"/>
        <w:right w:val="none" w:sz="0" w:space="0"/>
      </w:pgBorders>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roman"/>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宋体"/>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KSOFE4500885">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42A08">
    <w:pPr>
      <w:spacing w:line="240" w:lineRule="auto"/>
      <w:jc w:val="center"/>
    </w:pPr>
    <w:r>
      <w:rPr>
        <w:rFonts w:ascii="仿宋_GB2312" w:hAnsi="仿宋_GB2312" w:eastAsia="仿宋_GB2312"/>
        <w:b w:val="0"/>
        <w:color w:val="000000"/>
        <w:sz w:val="24"/>
      </w:rPr>
      <w:t xml:space="preserve">第 </w:t>
    </w:r>
    <w:r>
      <w:rPr>
        <w:rFonts w:ascii="仿宋_GB2312" w:hAnsi="仿宋_GB2312" w:eastAsia="仿宋_GB2312"/>
        <w:b w:val="0"/>
        <w:color w:val="000000"/>
        <w:sz w:val="24"/>
      </w:rPr>
      <w:fldChar w:fldCharType="begin"/>
    </w:r>
    <w:r>
      <w:rPr>
        <w:rFonts w:ascii="仿宋_GB2312" w:hAnsi="仿宋_GB2312" w:eastAsia="仿宋_GB2312"/>
        <w:b w:val="0"/>
        <w:color w:val="000000"/>
        <w:sz w:val="24"/>
      </w:rPr>
      <w:instrText xml:space="preserve"> PAGE </w:instrText>
    </w:r>
    <w:r>
      <w:rPr>
        <w:rFonts w:ascii="仿宋_GB2312" w:hAnsi="仿宋_GB2312" w:eastAsia="仿宋_GB2312"/>
        <w:b w:val="0"/>
        <w:color w:val="000000"/>
        <w:sz w:val="24"/>
      </w:rPr>
      <w:fldChar w:fldCharType="separate"/>
    </w:r>
    <w:r>
      <w:rPr>
        <w:rFonts w:ascii="仿宋_GB2312" w:hAnsi="仿宋_GB2312" w:eastAsia="仿宋_GB2312"/>
        <w:b w:val="0"/>
        <w:color w:val="000000"/>
        <w:sz w:val="24"/>
      </w:rPr>
      <w:t>1</w:t>
    </w:r>
    <w:r>
      <w:rPr>
        <w:rFonts w:ascii="仿宋_GB2312" w:hAnsi="仿宋_GB2312" w:eastAsia="仿宋_GB2312"/>
        <w:b w:val="0"/>
        <w:color w:val="000000"/>
        <w:sz w:val="24"/>
      </w:rPr>
      <w:fldChar w:fldCharType="end"/>
    </w:r>
    <w:r>
      <w:rPr>
        <w:rFonts w:ascii="仿宋_GB2312" w:hAnsi="仿宋_GB2312" w:eastAsia="仿宋_GB2312"/>
        <w:b w:val="0"/>
        <w:color w:val="000000"/>
        <w:sz w:val="24"/>
      </w:rPr>
      <w:t xml:space="preserve"> 页 共 </w:t>
    </w:r>
    <w:r>
      <w:rPr>
        <w:rFonts w:ascii="仿宋_GB2312" w:hAnsi="仿宋_GB2312" w:eastAsia="仿宋_GB2312"/>
        <w:b w:val="0"/>
        <w:color w:val="000000"/>
        <w:sz w:val="24"/>
      </w:rPr>
      <w:fldChar w:fldCharType="begin" w:fldLock="1"/>
    </w:r>
    <w:r>
      <w:rPr>
        <w:rFonts w:ascii="仿宋_GB2312" w:hAnsi="仿宋_GB2312" w:eastAsia="仿宋_GB2312"/>
        <w:b w:val="0"/>
        <w:color w:val="000000"/>
        <w:sz w:val="24"/>
      </w:rPr>
      <w:instrText xml:space="preserve"> SECTIONPAGES </w:instrText>
    </w:r>
    <w:r>
      <w:rPr>
        <w:rFonts w:ascii="仿宋_GB2312" w:hAnsi="仿宋_GB2312" w:eastAsia="仿宋_GB2312"/>
        <w:b w:val="0"/>
        <w:color w:val="000000"/>
        <w:sz w:val="24"/>
      </w:rPr>
      <w:fldChar w:fldCharType="separate"/>
    </w:r>
    <w:r>
      <w:rPr>
        <w:rFonts w:ascii="仿宋_GB2312" w:hAnsi="仿宋_GB2312" w:eastAsia="仿宋_GB2312"/>
        <w:b w:val="0"/>
        <w:color w:val="000000"/>
        <w:sz w:val="24"/>
      </w:rPr>
      <w:t>21</w:t>
    </w:r>
    <w:r>
      <w:rPr>
        <w:rFonts w:ascii="仿宋_GB2312" w:hAnsi="仿宋_GB2312" w:eastAsia="仿宋_GB2312"/>
        <w:b w:val="0"/>
        <w:color w:val="000000"/>
        <w:sz w:val="24"/>
      </w:rPr>
      <w:fldChar w:fldCharType="end"/>
    </w:r>
    <w:r>
      <w:rPr>
        <w:rFonts w:ascii="仿宋_GB2312" w:hAnsi="仿宋_GB2312" w:eastAsia="仿宋_GB2312"/>
        <w:b w:val="0"/>
        <w:color w:val="000000"/>
        <w:sz w:val="24"/>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4F3048"/>
    <w:multiLevelType w:val="multilevel"/>
    <w:tmpl w:val="0A4F3048"/>
    <w:lvl w:ilvl="0" w:tentative="0">
      <w:start w:val="1"/>
      <w:numFmt w:val="decimal"/>
      <w:pStyle w:val="16"/>
      <w:lvlText w:val="%1"/>
      <w:lvlJc w:val="left"/>
      <w:pPr>
        <w:ind w:left="0" w:firstLine="0"/>
      </w:pPr>
    </w:lvl>
    <w:lvl w:ilvl="1" w:tentative="0">
      <w:start w:val="1"/>
      <w:numFmt w:val="decimal"/>
      <w:lvlText w:val="%1.%2"/>
      <w:lvlJc w:val="left"/>
      <w:pPr>
        <w:ind w:left="420" w:firstLine="0"/>
      </w:pPr>
    </w:lvl>
    <w:lvl w:ilvl="2" w:tentative="0">
      <w:start w:val="1"/>
      <w:numFmt w:val="decimal"/>
      <w:lvlText w:val="%1.%2.%3"/>
      <w:lvlJc w:val="left"/>
      <w:pPr>
        <w:ind w:left="840" w:firstLine="0"/>
      </w:pPr>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84B11"/>
    <w:rsid w:val="00543CA0"/>
    <w:rsid w:val="00613FBF"/>
    <w:rsid w:val="006916B3"/>
    <w:rsid w:val="00AA1D8D"/>
    <w:rsid w:val="00B47730"/>
    <w:rsid w:val="00CB0664"/>
    <w:rsid w:val="00FC693F"/>
    <w:rsid w:val="10A61CE3"/>
    <w:rsid w:val="3EBE0278"/>
    <w:rsid w:val="4AB27151"/>
    <w:rsid w:val="58DB3C7F"/>
    <w:rsid w:val="5E801090"/>
    <w:rsid w:val="6A3F45C1"/>
    <w:rsid w:val="710358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pPr>
    <w:rPr>
      <w:rFonts w:ascii="仿宋_GB2312" w:hAnsi="仿宋_GB2312" w:eastAsia="仿宋_GB2312" w:cstheme="minorBidi"/>
      <w:color w:val="000000"/>
      <w:sz w:val="24"/>
      <w:szCs w:val="22"/>
      <w:lang w:val="en-US" w:eastAsia="en-US" w:bidi="ar-SA"/>
    </w:rPr>
  </w:style>
  <w:style w:type="paragraph" w:styleId="3">
    <w:name w:val="heading 1"/>
    <w:basedOn w:val="1"/>
    <w:next w:val="1"/>
    <w:link w:val="143"/>
    <w:qFormat/>
    <w:uiPriority w:val="9"/>
    <w:pPr>
      <w:keepNext/>
      <w:keepLines/>
      <w:spacing w:before="360" w:after="180"/>
      <w:outlineLvl w:val="0"/>
    </w:pPr>
    <w:rPr>
      <w:rFonts w:ascii="仿宋_GB2312" w:hAnsi="仿宋_GB2312" w:eastAsia="仿宋_GB2312"/>
      <w:b/>
      <w:bCs/>
      <w:color w:val="000000"/>
      <w:sz w:val="28"/>
      <w:szCs w:val="28"/>
    </w:rPr>
  </w:style>
  <w:style w:type="paragraph" w:styleId="4">
    <w:name w:val="heading 2"/>
    <w:basedOn w:val="1"/>
    <w:next w:val="1"/>
    <w:link w:val="144"/>
    <w:unhideWhenUsed/>
    <w:qFormat/>
    <w:uiPriority w:val="9"/>
    <w:pPr>
      <w:keepNext/>
      <w:keepLines/>
      <w:spacing w:before="240" w:after="120"/>
      <w:outlineLvl w:val="1"/>
    </w:pPr>
    <w:rPr>
      <w:rFonts w:ascii="仿宋_GB2312" w:hAnsi="仿宋_GB2312" w:eastAsia="仿宋_GB2312"/>
      <w:b/>
      <w:bCs/>
      <w:color w:val="000000"/>
      <w:sz w:val="28"/>
      <w:szCs w:val="26"/>
    </w:rPr>
  </w:style>
  <w:style w:type="paragraph" w:styleId="5">
    <w:name w:val="heading 3"/>
    <w:basedOn w:val="1"/>
    <w:next w:val="1"/>
    <w:link w:val="145"/>
    <w:unhideWhenUsed/>
    <w:qFormat/>
    <w:uiPriority w:val="9"/>
    <w:pPr>
      <w:keepNext/>
      <w:keepLines/>
      <w:spacing w:before="180" w:after="60"/>
      <w:outlineLvl w:val="2"/>
    </w:pPr>
    <w:rPr>
      <w:rFonts w:ascii="仿宋_GB2312" w:hAnsi="仿宋_GB2312" w:eastAsia="仿宋_GB2312"/>
      <w:b/>
      <w:bCs/>
      <w:color w:val="000000"/>
      <w:sz w:val="28"/>
    </w:rPr>
  </w:style>
  <w:style w:type="paragraph" w:styleId="6">
    <w:name w:val="heading 4"/>
    <w:basedOn w:val="1"/>
    <w:next w:val="1"/>
    <w:link w:val="155"/>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6"/>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7"/>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8"/>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uiPriority w:val="1"/>
  </w:style>
  <w:style w:type="table" w:default="1" w:styleId="36">
    <w:name w:val="Normal Table"/>
    <w:semiHidden/>
    <w:unhideWhenUsed/>
    <w:uiPriority w:val="99"/>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tabs>
        <w:tab w:val="left" w:pos="360"/>
      </w:tabs>
      <w:contextualSpacing/>
    </w:pPr>
  </w:style>
  <w:style w:type="paragraph" w:styleId="14">
    <w:name w:val="List Number"/>
    <w:basedOn w:val="1"/>
    <w:unhideWhenUsed/>
    <w:qFormat/>
    <w:uiPriority w:val="99"/>
    <w:pPr>
      <w:tabs>
        <w:tab w:val="left" w:pos="360"/>
      </w:tabs>
      <w:contextualSpacing/>
    </w:pPr>
  </w:style>
  <w:style w:type="paragraph" w:styleId="15">
    <w:name w:val="caption"/>
    <w:basedOn w:val="1"/>
    <w:next w:val="1"/>
    <w:semiHidden/>
    <w:unhideWhenUsed/>
    <w:qFormat/>
    <w:uiPriority w:val="35"/>
    <w:pPr>
      <w:spacing w:before="60" w:after="60"/>
    </w:pPr>
    <w:rPr>
      <w:rFonts w:ascii="仿宋_GB2312" w:hAnsi="仿宋_GB2312" w:eastAsia="仿宋_GB2312"/>
      <w:bCs/>
      <w:color w:val="000000"/>
      <w:sz w:val="21"/>
      <w:szCs w:val="18"/>
    </w:rPr>
  </w:style>
  <w:style w:type="paragraph" w:styleId="16">
    <w:name w:val="List Bullet"/>
    <w:basedOn w:val="1"/>
    <w:unhideWhenUsed/>
    <w:qFormat/>
    <w:uiPriority w:val="99"/>
    <w:pPr>
      <w:numPr>
        <w:ilvl w:val="0"/>
        <w:numId w:val="1"/>
      </w:numPr>
      <w:contextualSpacing/>
    </w:p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qFormat/>
    <w:uiPriority w:val="99"/>
    <w:pPr>
      <w:tabs>
        <w:tab w:val="left" w:pos="360"/>
      </w:tabs>
      <w:contextualSpacing/>
    </w:pPr>
  </w:style>
  <w:style w:type="paragraph" w:styleId="19">
    <w:name w:val="Body Text"/>
    <w:basedOn w:val="1"/>
    <w:link w:val="149"/>
    <w:unhideWhenUsed/>
    <w:qFormat/>
    <w:uiPriority w:val="99"/>
    <w:pPr>
      <w:spacing w:after="120"/>
    </w:pPr>
  </w:style>
  <w:style w:type="paragraph" w:styleId="20">
    <w:name w:val="List Number 3"/>
    <w:basedOn w:val="1"/>
    <w:unhideWhenUsed/>
    <w:uiPriority w:val="99"/>
    <w:pPr>
      <w:tabs>
        <w:tab w:val="left" w:pos="360"/>
      </w:tabs>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tabs>
        <w:tab w:val="left" w:pos="360"/>
      </w:tabs>
      <w:contextualSpacing/>
    </w:pPr>
  </w:style>
  <w:style w:type="paragraph" w:styleId="24">
    <w:name w:val="toc 3"/>
    <w:basedOn w:val="1"/>
    <w:next w:val="1"/>
    <w:autoRedefine/>
    <w:unhideWhenUsed/>
    <w:uiPriority w:val="39"/>
    <w:pPr>
      <w:ind w:left="840" w:leftChars="400"/>
    </w:pPr>
  </w:style>
  <w:style w:type="paragraph" w:styleId="25">
    <w:name w:val="footer"/>
    <w:basedOn w:val="1"/>
    <w:link w:val="141"/>
    <w:unhideWhenUsed/>
    <w:qFormat/>
    <w:uiPriority w:val="99"/>
    <w:pPr>
      <w:tabs>
        <w:tab w:val="center" w:pos="4680"/>
        <w:tab w:val="right" w:pos="9360"/>
      </w:tabs>
      <w:spacing w:line="240" w:lineRule="auto"/>
    </w:pPr>
  </w:style>
  <w:style w:type="paragraph" w:styleId="26">
    <w:name w:val="header"/>
    <w:basedOn w:val="1"/>
    <w:link w:val="140"/>
    <w:unhideWhenUsed/>
    <w:qFormat/>
    <w:uiPriority w:val="99"/>
    <w:pPr>
      <w:tabs>
        <w:tab w:val="center" w:pos="4680"/>
        <w:tab w:val="right" w:pos="9360"/>
      </w:tabs>
      <w:spacing w:line="240" w:lineRule="auto"/>
    </w:pPr>
  </w:style>
  <w:style w:type="paragraph" w:styleId="27">
    <w:name w:val="toc 1"/>
    <w:basedOn w:val="1"/>
    <w:next w:val="1"/>
    <w:autoRedefine/>
    <w:unhideWhenUsed/>
    <w:uiPriority w:val="39"/>
  </w:style>
  <w:style w:type="paragraph" w:styleId="28">
    <w:name w:val="Subtitle"/>
    <w:basedOn w:val="1"/>
    <w:next w:val="1"/>
    <w:link w:val="147"/>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autoRedefine/>
    <w:unhideWhenUsed/>
    <w:uiPriority w:val="39"/>
    <w:pPr>
      <w:ind w:left="420" w:leftChars="200"/>
    </w:pPr>
  </w:style>
  <w:style w:type="paragraph" w:styleId="31">
    <w:name w:val="Body Text 2"/>
    <w:basedOn w:val="1"/>
    <w:link w:val="150"/>
    <w:unhideWhenUsed/>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Normal (Web)"/>
    <w:basedOn w:val="1"/>
    <w:qFormat/>
    <w:uiPriority w:val="0"/>
    <w:pPr>
      <w:spacing w:after="160" w:line="276" w:lineRule="auto"/>
    </w:pPr>
    <w:rPr>
      <w:rFonts w:ascii="Calibri" w:hAnsi="Calibri" w:eastAsia="宋体"/>
      <w:sz w:val="24"/>
      <w:szCs w:val="24"/>
      <w:u w:val="single"/>
    </w:rPr>
  </w:style>
  <w:style w:type="paragraph" w:styleId="34">
    <w:name w:val="List Continue 3"/>
    <w:basedOn w:val="1"/>
    <w:unhideWhenUsed/>
    <w:uiPriority w:val="99"/>
    <w:pPr>
      <w:spacing w:after="120"/>
      <w:ind w:left="1080"/>
      <w:contextualSpacing/>
    </w:pPr>
  </w:style>
  <w:style w:type="paragraph" w:styleId="35">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Light Shading"/>
    <w:basedOn w:val="36"/>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styleId="139">
    <w:name w:val="Hyperlink"/>
    <w:basedOn w:val="136"/>
    <w:unhideWhenUsed/>
    <w:uiPriority w:val="99"/>
    <w:rPr>
      <w:color w:val="0000FF" w:themeColor="hyperlink"/>
      <w:u w:val="single"/>
      <w14:textFill>
        <w14:solidFill>
          <w14:schemeClr w14:val="hlink"/>
        </w14:solidFill>
      </w14:textFill>
    </w:rPr>
  </w:style>
  <w:style w:type="character" w:customStyle="1" w:styleId="140">
    <w:name w:val="页眉 字符"/>
    <w:basedOn w:val="136"/>
    <w:link w:val="26"/>
    <w:qFormat/>
    <w:uiPriority w:val="99"/>
  </w:style>
  <w:style w:type="character" w:customStyle="1" w:styleId="141">
    <w:name w:val="页脚 字符"/>
    <w:basedOn w:val="136"/>
    <w:link w:val="25"/>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标题 1 字符"/>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标题 2 字符"/>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标题 3 字符"/>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标题 字符"/>
    <w:basedOn w:val="136"/>
    <w:link w:val="3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副标题 字符"/>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正文文本 字符"/>
    <w:basedOn w:val="136"/>
    <w:link w:val="19"/>
    <w:uiPriority w:val="99"/>
  </w:style>
  <w:style w:type="character" w:customStyle="1" w:styleId="150">
    <w:name w:val="正文文本 2 字符"/>
    <w:basedOn w:val="136"/>
    <w:link w:val="31"/>
    <w:qFormat/>
    <w:uiPriority w:val="99"/>
  </w:style>
  <w:style w:type="character" w:customStyle="1" w:styleId="151">
    <w:name w:val="正文文本 3 字符"/>
    <w:basedOn w:val="136"/>
    <w:link w:val="17"/>
    <w:qFormat/>
    <w:uiPriority w:val="99"/>
    <w:rPr>
      <w:sz w:val="16"/>
      <w:szCs w:val="16"/>
    </w:rPr>
  </w:style>
  <w:style w:type="character" w:customStyle="1" w:styleId="152">
    <w:name w:val="宏文本 字符"/>
    <w:basedOn w:val="136"/>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引用 字符"/>
    <w:basedOn w:val="136"/>
    <w:link w:val="153"/>
    <w:qFormat/>
    <w:uiPriority w:val="29"/>
    <w:rPr>
      <w:i/>
      <w:iCs/>
      <w:color w:val="000000" w:themeColor="text1"/>
      <w14:textFill>
        <w14:solidFill>
          <w14:schemeClr w14:val="tx1"/>
        </w14:solidFill>
      </w14:textFill>
    </w:rPr>
  </w:style>
  <w:style w:type="character" w:customStyle="1" w:styleId="155">
    <w:name w:val="标题 4 字符"/>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标题 5 字符"/>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7">
    <w:name w:val="标题 6 字符"/>
    <w:basedOn w:val="136"/>
    <w:link w:val="8"/>
    <w:semiHidden/>
    <w:uiPriority w:val="9"/>
    <w:rPr>
      <w:rFonts w:asciiTheme="majorHAnsi" w:hAnsiTheme="majorHAnsi" w:eastAsiaTheme="majorEastAsia" w:cstheme="majorBidi"/>
      <w:i/>
      <w:iCs/>
      <w:color w:val="254061" w:themeColor="accent1" w:themeShade="80"/>
    </w:rPr>
  </w:style>
  <w:style w:type="character" w:customStyle="1" w:styleId="158">
    <w:name w:val="标题 7 字符"/>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标题 8 字符"/>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标题 9 字符"/>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明显引用 字符"/>
    <w:basedOn w:val="136"/>
    <w:link w:val="161"/>
    <w:qFormat/>
    <w:uiPriority w:val="30"/>
    <w:rPr>
      <w:b/>
      <w:bCs/>
      <w:i/>
      <w:iCs/>
      <w:color w:val="4F81BD" w:themeColor="accent1"/>
      <w14:textFill>
        <w14:solidFill>
          <w14:schemeClr w14:val="accent1"/>
        </w14:solidFill>
      </w14:textFill>
    </w:rPr>
  </w:style>
  <w:style w:type="character" w:customStyle="1" w:styleId="163">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36"/>
    <w:qFormat/>
    <w:uiPriority w:val="21"/>
    <w:rPr>
      <w:b/>
      <w:bCs/>
      <w:i/>
      <w:iCs/>
      <w:color w:val="4F81BD" w:themeColor="accent1"/>
      <w14:textFill>
        <w14:solidFill>
          <w14:schemeClr w14:val="accent1"/>
        </w14:solidFill>
      </w14:textFill>
    </w:rPr>
  </w:style>
  <w:style w:type="character" w:customStyle="1" w:styleId="165">
    <w:name w:val="Subtle Reference"/>
    <w:basedOn w:val="136"/>
    <w:qFormat/>
    <w:uiPriority w:val="31"/>
    <w:rPr>
      <w:smallCaps/>
      <w:color w:val="C0504D" w:themeColor="accent2"/>
      <w:u w:val="single"/>
      <w14:textFill>
        <w14:solidFill>
          <w14:schemeClr w14:val="accent2"/>
        </w14:solidFill>
      </w14:textFill>
    </w:rPr>
  </w:style>
  <w:style w:type="character" w:customStyle="1" w:styleId="166">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36"/>
    <w:qFormat/>
    <w:uiPriority w:val="33"/>
    <w:rPr>
      <w:b/>
      <w:bCs/>
      <w:smallCaps/>
      <w:spacing w:val="5"/>
    </w:rPr>
  </w:style>
  <w:style w:type="paragraph" w:customStyle="1" w:styleId="168">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jpe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jpe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1940</Words>
  <Characters>2139</Characters>
  <Lines>275</Lines>
  <Paragraphs>306</Paragraphs>
  <TotalTime>5</TotalTime>
  <ScaleCrop>false</ScaleCrop>
  <LinksUpToDate>false</LinksUpToDate>
  <CharactersWithSpaces>2367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空</cp:lastModifiedBy>
  <dcterms:modified xsi:type="dcterms:W3CDTF">2026-09-08T10:47:09Z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eyJoZGlkIjoiMDUwZWJmYTkyMDA2ZjBhMmVlOWEyNWFhNTZiNmI4ZWIiLCJ1c2VySWQiOiIxNjA2ODEyMjMzIn0=</vt:lpwstr>
  </property>
  <property fmtid="{D5CDD505-2E9C-101B-9397-08002B2CF9AE}" pid="3" name="KSOProductBuildVer">
    <vt:lpwstr>2052-12.1.0.28043</vt:lpwstr>
  </property>
  <property fmtid="{D5CDD505-2E9C-101B-9397-08002B2CF9AE}" pid="4" name="ICV">
    <vt:lpwstr>BF30D127CB3E433C971C18E758772158_12</vt:lpwstr>
  </property>
</Properties>
</file>