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虚拟仿真实训指导书</w:t>
      </w:r>
    </w:p>
    <w:p>
      <w:r>
        <w:t>教学文档：任务书、实验步骤与评价标准</w:t>
      </w:r>
    </w:p>
    <w:p>
      <w:pPr>
        <w:pStyle w:val="Heading1"/>
      </w:pPr>
      <w:r>
        <w:t>资源概述</w:t>
      </w:r>
    </w:p>
    <w:p>
      <w:r>
        <w:t>提供虚拟仿真实训的任务说明、实验步骤、数据记录表和评价标准。</w:t>
      </w:r>
    </w:p>
    <w:p>
      <w:pPr>
        <w:pStyle w:val="Heading1"/>
      </w:pPr>
      <w:r>
        <w:t>一、实训目标</w:t>
      </w:r>
    </w:p>
    <w:p>
      <w:pPr>
        <w:pStyle w:val="ListBullet"/>
      </w:pPr>
      <w:r>
        <w:t>理解虚拟仿真实训的业务背景和任务要求。</w:t>
      </w:r>
    </w:p>
    <w:p>
      <w:pPr>
        <w:pStyle w:val="ListBullet"/>
      </w:pPr>
      <w:r>
        <w:t>能够独立完成平台操作、数据记录和结果分析。</w:t>
      </w:r>
    </w:p>
    <w:p>
      <w:pPr>
        <w:pStyle w:val="ListBullet"/>
      </w:pPr>
      <w:r>
        <w:t>形成规范化实训报告。</w:t>
      </w:r>
    </w:p>
    <w:p>
      <w:pPr>
        <w:pStyle w:val="Heading1"/>
      </w:pPr>
      <w:r>
        <w:t>二、实验步骤</w:t>
      </w:r>
    </w:p>
    <w:p>
      <w:pPr>
        <w:pStyle w:val="ListBullet"/>
      </w:pPr>
      <w:r>
        <w:t>登录平台，进入资源中心。</w:t>
      </w:r>
    </w:p>
    <w:p>
      <w:pPr>
        <w:pStyle w:val="ListBullet"/>
      </w:pPr>
      <w:r>
        <w:t>选择对应资源并阅读资源说明。</w:t>
      </w:r>
    </w:p>
    <w:p>
      <w:pPr>
        <w:pStyle w:val="ListBullet"/>
      </w:pPr>
      <w:r>
        <w:t>虚拟仿真资源先提交申请，审核后进入实验。</w:t>
      </w:r>
    </w:p>
    <w:p>
      <w:pPr>
        <w:pStyle w:val="ListBullet"/>
      </w:pPr>
      <w:r>
        <w:t>记录关键参数、操作截图和异常问题。</w:t>
      </w:r>
    </w:p>
    <w:p>
      <w:pPr>
        <w:pStyle w:val="ListBullet"/>
      </w:pPr>
      <w:r>
        <w:t>完成心得总结并提交给教师。</w:t>
      </w:r>
    </w:p>
    <w:p>
      <w:pPr>
        <w:pStyle w:val="Heading1"/>
      </w:pPr>
      <w:r>
        <w:t>三、评价标准</w:t>
      </w:r>
    </w:p>
    <w:p>
      <w:pPr>
        <w:pStyle w:val="ListBullet"/>
      </w:pPr>
      <w:r>
        <w:t>过程记录完整，占 30%。</w:t>
      </w:r>
    </w:p>
    <w:p>
      <w:pPr>
        <w:pStyle w:val="ListBullet"/>
      </w:pPr>
      <w:r>
        <w:t>操作结果正确，占 40%。</w:t>
      </w:r>
    </w:p>
    <w:p>
      <w:pPr>
        <w:pStyle w:val="ListBullet"/>
      </w:pPr>
      <w:r>
        <w:t>问题分析和改进建议，占 20%。</w:t>
      </w:r>
    </w:p>
    <w:p>
      <w:pPr>
        <w:pStyle w:val="ListBullet"/>
      </w:pPr>
      <w:r>
        <w:t>团队协作与课堂表现，占 10%。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