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7E7EB" w14:textId="2AD2AE6B" w:rsidR="008553D9" w:rsidRPr="007C477E" w:rsidRDefault="008553D9" w:rsidP="008553D9">
      <w:pPr>
        <w:rPr>
          <w:rFonts w:ascii="Times New Roman" w:hAnsi="Times New Roman" w:cs="Times New Roman"/>
          <w:b/>
          <w:bCs/>
        </w:rPr>
      </w:pPr>
      <w:r w:rsidRPr="007C477E">
        <w:rPr>
          <w:rFonts w:ascii="Times New Roman" w:hAnsi="Times New Roman" w:cs="Times New Roman"/>
          <w:b/>
          <w:bCs/>
        </w:rPr>
        <w:t xml:space="preserve">Appendix </w:t>
      </w:r>
      <w:r w:rsidR="00455909">
        <w:rPr>
          <w:rFonts w:ascii="Times New Roman" w:hAnsi="Times New Roman" w:cs="Times New Roman"/>
          <w:b/>
          <w:bCs/>
        </w:rPr>
        <w:t>C</w:t>
      </w:r>
      <w:r w:rsidRPr="007C477E">
        <w:rPr>
          <w:rFonts w:ascii="Times New Roman" w:hAnsi="Times New Roman" w:cs="Times New Roman"/>
          <w:b/>
          <w:bCs/>
        </w:rPr>
        <w:t>: Implementation Details and Algorithmic Parameters</w:t>
      </w:r>
    </w:p>
    <w:p w14:paraId="59A8F5C4" w14:textId="17DAB81A" w:rsidR="008553D9" w:rsidRPr="007C477E" w:rsidRDefault="008553D9" w:rsidP="007C477E">
      <w:pPr>
        <w:jc w:val="both"/>
        <w:rPr>
          <w:rFonts w:ascii="Times New Roman" w:eastAsia="Times New Roman" w:hAnsi="Times New Roman" w:cs="Times New Roman"/>
          <w:kern w:val="0"/>
          <w:lang w:val="en-US" w:eastAsia="en-GB"/>
          <w14:ligatures w14:val="none"/>
        </w:rPr>
      </w:pPr>
      <w:r w:rsidRPr="007C477E">
        <w:rPr>
          <w:rFonts w:ascii="Times New Roman" w:eastAsia="Times New Roman" w:hAnsi="Times New Roman" w:cs="Times New Roman"/>
          <w:kern w:val="0"/>
          <w:lang w:val="en-US" w:eastAsia="en-GB"/>
          <w14:ligatures w14:val="none"/>
        </w:rPr>
        <w:t>To ensure full transparency and reproducibility of the computational experiments, this appendix details the hyper</w:t>
      </w:r>
      <w:r w:rsidR="00CB19A2">
        <w:rPr>
          <w:rFonts w:ascii="Times New Roman" w:eastAsia="Times New Roman" w:hAnsi="Times New Roman" w:cs="Times New Roman"/>
          <w:kern w:val="0"/>
          <w:lang w:val="en-US" w:eastAsia="en-GB"/>
          <w14:ligatures w14:val="none"/>
        </w:rPr>
        <w:t>-</w:t>
      </w:r>
      <w:r w:rsidRPr="007C477E">
        <w:rPr>
          <w:rFonts w:ascii="Times New Roman" w:eastAsia="Times New Roman" w:hAnsi="Times New Roman" w:cs="Times New Roman"/>
          <w:kern w:val="0"/>
          <w:lang w:val="en-US" w:eastAsia="en-GB"/>
          <w14:ligatures w14:val="none"/>
        </w:rPr>
        <w:t>parameters, constraint handling mechanisms, and the computational environment utilized for the proposed M</w:t>
      </w:r>
      <w:r w:rsidR="00CB19A2">
        <w:rPr>
          <w:rFonts w:ascii="Times New Roman" w:eastAsia="Times New Roman" w:hAnsi="Times New Roman" w:cs="Times New Roman"/>
          <w:kern w:val="0"/>
          <w:lang w:val="en-US" w:eastAsia="en-GB"/>
          <w14:ligatures w14:val="none"/>
        </w:rPr>
        <w:t>-</w:t>
      </w:r>
      <w:r w:rsidRPr="007C477E">
        <w:rPr>
          <w:rFonts w:ascii="Times New Roman" w:eastAsia="Times New Roman" w:hAnsi="Times New Roman" w:cs="Times New Roman"/>
          <w:kern w:val="0"/>
          <w:lang w:val="en-US" w:eastAsia="en-GB"/>
          <w14:ligatures w14:val="none"/>
        </w:rPr>
        <w:t>NSGA</w:t>
      </w:r>
      <w:r w:rsidR="00CB19A2">
        <w:rPr>
          <w:rFonts w:ascii="Times New Roman" w:eastAsia="Times New Roman" w:hAnsi="Times New Roman" w:cs="Times New Roman"/>
          <w:kern w:val="0"/>
          <w:lang w:val="en-US" w:eastAsia="en-GB"/>
          <w14:ligatures w14:val="none"/>
        </w:rPr>
        <w:t>-</w:t>
      </w:r>
      <w:r w:rsidRPr="007C477E">
        <w:rPr>
          <w:rFonts w:ascii="Times New Roman" w:eastAsia="Times New Roman" w:hAnsi="Times New Roman" w:cs="Times New Roman"/>
          <w:kern w:val="0"/>
          <w:lang w:val="en-US" w:eastAsia="en-GB"/>
          <w14:ligatures w14:val="none"/>
        </w:rPr>
        <w:t>II framework.</w:t>
      </w:r>
    </w:p>
    <w:p w14:paraId="41E94069" w14:textId="35C02195" w:rsidR="008553D9" w:rsidRPr="007C477E" w:rsidRDefault="00455909" w:rsidP="008553D9">
      <w:pPr>
        <w:rPr>
          <w:rFonts w:ascii="Times New Roman" w:hAnsi="Times New Roman" w:cs="Times New Roman"/>
          <w:b/>
          <w:bCs/>
        </w:rPr>
      </w:pPr>
      <w:r>
        <w:rPr>
          <w:rFonts w:ascii="Times New Roman" w:hAnsi="Times New Roman" w:cs="Times New Roman"/>
          <w:b/>
          <w:bCs/>
        </w:rPr>
        <w:t>C</w:t>
      </w:r>
      <w:r w:rsidR="008553D9" w:rsidRPr="007C477E">
        <w:rPr>
          <w:rFonts w:ascii="Times New Roman" w:hAnsi="Times New Roman" w:cs="Times New Roman"/>
          <w:b/>
          <w:bCs/>
        </w:rPr>
        <w:t>.1. Parameter Settings</w:t>
      </w:r>
    </w:p>
    <w:p w14:paraId="2C58DEAD" w14:textId="173B9F70" w:rsidR="008553D9" w:rsidRPr="007C477E" w:rsidRDefault="008553D9" w:rsidP="007C477E">
      <w:pPr>
        <w:jc w:val="both"/>
        <w:rPr>
          <w:rFonts w:ascii="Times New Roman" w:eastAsia="Times New Roman" w:hAnsi="Times New Roman" w:cs="Times New Roman"/>
          <w:kern w:val="0"/>
          <w:lang w:val="en-US" w:eastAsia="en-GB"/>
          <w14:ligatures w14:val="none"/>
        </w:rPr>
      </w:pPr>
      <w:r w:rsidRPr="007C477E">
        <w:rPr>
          <w:rFonts w:ascii="Times New Roman" w:eastAsia="Times New Roman" w:hAnsi="Times New Roman" w:cs="Times New Roman"/>
          <w:kern w:val="0"/>
          <w:lang w:val="en-US" w:eastAsia="en-GB"/>
          <w14:ligatures w14:val="none"/>
        </w:rPr>
        <w:t xml:space="preserve">The core hyper-parameters of the M-NSGA-II are summarized in Table </w:t>
      </w:r>
      <w:r w:rsidR="00455909">
        <w:rPr>
          <w:rFonts w:ascii="Times New Roman" w:eastAsia="Times New Roman" w:hAnsi="Times New Roman" w:cs="Times New Roman"/>
          <w:kern w:val="0"/>
          <w:lang w:val="en-US" w:eastAsia="en-GB"/>
          <w14:ligatures w14:val="none"/>
        </w:rPr>
        <w:t>C</w:t>
      </w:r>
      <w:r w:rsidRPr="007C477E">
        <w:rPr>
          <w:rFonts w:ascii="Times New Roman" w:eastAsia="Times New Roman" w:hAnsi="Times New Roman" w:cs="Times New Roman"/>
          <w:kern w:val="0"/>
          <w:lang w:val="en-US" w:eastAsia="en-GB"/>
          <w14:ligatures w14:val="none"/>
        </w:rPr>
        <w:t>1. The crossover and mutation probabilities were determined through preliminary testing and kept consistent across all benchmark instances to evaluate the algorithm's generalized robustness without overfitting to specific problem sizes.</w:t>
      </w:r>
    </w:p>
    <w:p w14:paraId="68636737" w14:textId="571E28F6" w:rsidR="008553D9" w:rsidRPr="00455909" w:rsidRDefault="008553D9" w:rsidP="00455909">
      <w:pPr>
        <w:jc w:val="center"/>
        <w:rPr>
          <w:rFonts w:ascii="Times New Roman" w:hAnsi="Times New Roman" w:cs="Times New Roman"/>
          <w:sz w:val="22"/>
          <w:szCs w:val="22"/>
        </w:rPr>
      </w:pPr>
      <w:r w:rsidRPr="00455909">
        <w:rPr>
          <w:rFonts w:ascii="Times New Roman" w:hAnsi="Times New Roman" w:cs="Times New Roman"/>
          <w:b/>
          <w:bCs/>
          <w:sz w:val="22"/>
          <w:szCs w:val="22"/>
        </w:rPr>
        <w:t xml:space="preserve">Table </w:t>
      </w:r>
      <w:r w:rsidR="00455909" w:rsidRPr="00455909">
        <w:rPr>
          <w:rFonts w:ascii="Times New Roman" w:hAnsi="Times New Roman" w:cs="Times New Roman"/>
          <w:b/>
          <w:bCs/>
          <w:sz w:val="22"/>
          <w:szCs w:val="22"/>
        </w:rPr>
        <w:t>C</w:t>
      </w:r>
      <w:r w:rsidRPr="00455909">
        <w:rPr>
          <w:rFonts w:ascii="Times New Roman" w:hAnsi="Times New Roman" w:cs="Times New Roman"/>
          <w:b/>
          <w:bCs/>
          <w:sz w:val="22"/>
          <w:szCs w:val="22"/>
        </w:rPr>
        <w:t>1:</w:t>
      </w:r>
      <w:r w:rsidRPr="00455909">
        <w:rPr>
          <w:rFonts w:ascii="Times New Roman" w:hAnsi="Times New Roman" w:cs="Times New Roman"/>
          <w:sz w:val="22"/>
          <w:szCs w:val="22"/>
        </w:rPr>
        <w:t xml:space="preserve"> Parameter Settings for the Proposed M-NSGA-II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8553D9" w:rsidRPr="00455909" w14:paraId="73532235" w14:textId="77777777" w:rsidTr="008553D9">
        <w:tc>
          <w:tcPr>
            <w:tcW w:w="3020" w:type="dxa"/>
            <w:tcBorders>
              <w:top w:val="single" w:sz="4" w:space="0" w:color="auto"/>
              <w:bottom w:val="single" w:sz="4" w:space="0" w:color="auto"/>
            </w:tcBorders>
            <w:vAlign w:val="center"/>
          </w:tcPr>
          <w:p w14:paraId="57516576" w14:textId="7AA03617" w:rsidR="008553D9" w:rsidRPr="00455909" w:rsidRDefault="008553D9" w:rsidP="008553D9">
            <w:pPr>
              <w:rPr>
                <w:rFonts w:ascii="Times New Roman" w:hAnsi="Times New Roman" w:cs="Times New Roman"/>
                <w:sz w:val="22"/>
                <w:szCs w:val="22"/>
              </w:rPr>
            </w:pPr>
            <w:r w:rsidRPr="00455909">
              <w:rPr>
                <w:rFonts w:ascii="Times New Roman" w:hAnsi="Times New Roman" w:cs="Times New Roman"/>
                <w:b/>
                <w:bCs/>
                <w:sz w:val="22"/>
                <w:szCs w:val="22"/>
              </w:rPr>
              <w:t>Parameter</w:t>
            </w:r>
          </w:p>
        </w:tc>
        <w:tc>
          <w:tcPr>
            <w:tcW w:w="3021" w:type="dxa"/>
            <w:tcBorders>
              <w:top w:val="single" w:sz="4" w:space="0" w:color="auto"/>
              <w:bottom w:val="single" w:sz="4" w:space="0" w:color="auto"/>
            </w:tcBorders>
            <w:vAlign w:val="center"/>
          </w:tcPr>
          <w:p w14:paraId="68AE3E59" w14:textId="6F4811AE" w:rsidR="008553D9" w:rsidRPr="00455909" w:rsidRDefault="008553D9" w:rsidP="008553D9">
            <w:pPr>
              <w:rPr>
                <w:rFonts w:ascii="Times New Roman" w:hAnsi="Times New Roman" w:cs="Times New Roman"/>
                <w:sz w:val="22"/>
                <w:szCs w:val="22"/>
              </w:rPr>
            </w:pPr>
            <w:r w:rsidRPr="00455909">
              <w:rPr>
                <w:rFonts w:ascii="Times New Roman" w:hAnsi="Times New Roman" w:cs="Times New Roman"/>
                <w:b/>
                <w:bCs/>
                <w:sz w:val="22"/>
                <w:szCs w:val="22"/>
              </w:rPr>
              <w:t>Description</w:t>
            </w:r>
          </w:p>
        </w:tc>
        <w:tc>
          <w:tcPr>
            <w:tcW w:w="3021" w:type="dxa"/>
            <w:tcBorders>
              <w:top w:val="single" w:sz="4" w:space="0" w:color="auto"/>
              <w:bottom w:val="single" w:sz="4" w:space="0" w:color="auto"/>
            </w:tcBorders>
            <w:vAlign w:val="center"/>
          </w:tcPr>
          <w:p w14:paraId="7F9ADE67" w14:textId="3ADB2DD5" w:rsidR="008553D9" w:rsidRPr="00455909" w:rsidRDefault="008553D9" w:rsidP="008553D9">
            <w:pPr>
              <w:rPr>
                <w:rFonts w:ascii="Times New Roman" w:hAnsi="Times New Roman" w:cs="Times New Roman"/>
                <w:sz w:val="22"/>
                <w:szCs w:val="22"/>
              </w:rPr>
            </w:pPr>
            <w:r w:rsidRPr="00455909">
              <w:rPr>
                <w:rFonts w:ascii="Times New Roman" w:hAnsi="Times New Roman" w:cs="Times New Roman"/>
                <w:b/>
                <w:bCs/>
                <w:sz w:val="22"/>
                <w:szCs w:val="22"/>
              </w:rPr>
              <w:t>Value / Setting</w:t>
            </w:r>
          </w:p>
        </w:tc>
      </w:tr>
      <w:tr w:rsidR="008553D9" w:rsidRPr="00455909" w14:paraId="6B5BFE97" w14:textId="77777777" w:rsidTr="008553D9">
        <w:tc>
          <w:tcPr>
            <w:tcW w:w="3020" w:type="dxa"/>
            <w:tcBorders>
              <w:top w:val="single" w:sz="4" w:space="0" w:color="auto"/>
            </w:tcBorders>
            <w:vAlign w:val="center"/>
          </w:tcPr>
          <w:p w14:paraId="575430C8" w14:textId="79C72CD3" w:rsidR="008553D9" w:rsidRPr="00455909" w:rsidRDefault="008553D9" w:rsidP="008553D9">
            <w:pPr>
              <w:rPr>
                <w:rFonts w:ascii="Times New Roman" w:hAnsi="Times New Roman" w:cs="Times New Roman"/>
                <w:sz w:val="22"/>
                <w:szCs w:val="22"/>
              </w:rPr>
            </w:pPr>
            <m:oMathPara>
              <m:oMath>
                <m:r>
                  <w:rPr>
                    <w:rFonts w:ascii="Cambria Math" w:hAnsi="Cambria Math" w:cs="Times New Roman"/>
                    <w:sz w:val="22"/>
                    <w:szCs w:val="22"/>
                  </w:rPr>
                  <m:t>N</m:t>
                </m:r>
              </m:oMath>
            </m:oMathPara>
          </w:p>
        </w:tc>
        <w:tc>
          <w:tcPr>
            <w:tcW w:w="3021" w:type="dxa"/>
            <w:tcBorders>
              <w:top w:val="single" w:sz="4" w:space="0" w:color="auto"/>
            </w:tcBorders>
            <w:vAlign w:val="center"/>
          </w:tcPr>
          <w:p w14:paraId="53E0474A" w14:textId="05A7F56F" w:rsidR="008553D9" w:rsidRPr="00455909" w:rsidRDefault="008553D9" w:rsidP="008553D9">
            <w:pPr>
              <w:rPr>
                <w:rFonts w:ascii="Times New Roman" w:hAnsi="Times New Roman" w:cs="Times New Roman"/>
                <w:sz w:val="22"/>
                <w:szCs w:val="22"/>
              </w:rPr>
            </w:pPr>
            <w:r w:rsidRPr="00455909">
              <w:rPr>
                <w:rFonts w:ascii="Times New Roman" w:hAnsi="Times New Roman" w:cs="Times New Roman"/>
                <w:sz w:val="22"/>
                <w:szCs w:val="22"/>
              </w:rPr>
              <w:t>Population size</w:t>
            </w:r>
          </w:p>
        </w:tc>
        <w:tc>
          <w:tcPr>
            <w:tcW w:w="3021" w:type="dxa"/>
            <w:tcBorders>
              <w:top w:val="single" w:sz="4" w:space="0" w:color="auto"/>
            </w:tcBorders>
            <w:vAlign w:val="center"/>
          </w:tcPr>
          <w:p w14:paraId="5E1BCB88" w14:textId="1816257A" w:rsidR="008553D9" w:rsidRPr="00455909" w:rsidRDefault="008553D9" w:rsidP="008553D9">
            <w:pPr>
              <w:rPr>
                <w:rFonts w:ascii="Times New Roman" w:hAnsi="Times New Roman" w:cs="Times New Roman"/>
                <w:sz w:val="22"/>
                <w:szCs w:val="22"/>
              </w:rPr>
            </w:pPr>
            <m:oMathPara>
              <m:oMath>
                <m:r>
                  <w:rPr>
                    <w:rFonts w:ascii="Cambria Math" w:hAnsi="Cambria Math" w:cs="Times New Roman"/>
                    <w:sz w:val="22"/>
                    <w:szCs w:val="22"/>
                  </w:rPr>
                  <m:t>100</m:t>
                </m:r>
              </m:oMath>
            </m:oMathPara>
          </w:p>
        </w:tc>
      </w:tr>
      <w:tr w:rsidR="008553D9" w:rsidRPr="00455909" w14:paraId="17EBC0B0" w14:textId="77777777" w:rsidTr="008553D9">
        <w:tc>
          <w:tcPr>
            <w:tcW w:w="3020" w:type="dxa"/>
            <w:vAlign w:val="center"/>
          </w:tcPr>
          <w:p w14:paraId="4342CD0F" w14:textId="50330C38" w:rsidR="008553D9" w:rsidRPr="00455909" w:rsidRDefault="008553D9" w:rsidP="008553D9">
            <w:pPr>
              <w:rPr>
                <w:rFonts w:ascii="Times New Roman" w:hAnsi="Times New Roman" w:cs="Times New Roman"/>
                <w:sz w:val="22"/>
                <w:szCs w:val="22"/>
              </w:rPr>
            </w:pPr>
            <m:oMathPara>
              <m:oMath>
                <m:r>
                  <w:rPr>
                    <w:rFonts w:ascii="Cambria Math" w:hAnsi="Cambria Math" w:cs="Times New Roman"/>
                    <w:sz w:val="22"/>
                    <w:szCs w:val="22"/>
                  </w:rPr>
                  <m:t>Ge</m:t>
                </m:r>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max</m:t>
                    </m:r>
                  </m:sub>
                </m:sSub>
              </m:oMath>
            </m:oMathPara>
          </w:p>
        </w:tc>
        <w:tc>
          <w:tcPr>
            <w:tcW w:w="3021" w:type="dxa"/>
            <w:vAlign w:val="center"/>
          </w:tcPr>
          <w:p w14:paraId="74C188FF" w14:textId="1180B6AF" w:rsidR="008553D9" w:rsidRPr="00455909" w:rsidRDefault="008553D9" w:rsidP="008553D9">
            <w:pPr>
              <w:rPr>
                <w:rFonts w:ascii="Times New Roman" w:hAnsi="Times New Roman" w:cs="Times New Roman"/>
                <w:sz w:val="22"/>
                <w:szCs w:val="22"/>
              </w:rPr>
            </w:pPr>
            <w:r w:rsidRPr="00455909">
              <w:rPr>
                <w:rFonts w:ascii="Times New Roman" w:hAnsi="Times New Roman" w:cs="Times New Roman"/>
                <w:sz w:val="22"/>
                <w:szCs w:val="22"/>
              </w:rPr>
              <w:t>Maximum generations (Stopping criteria)</w:t>
            </w:r>
          </w:p>
        </w:tc>
        <w:tc>
          <w:tcPr>
            <w:tcW w:w="3021" w:type="dxa"/>
            <w:vAlign w:val="center"/>
          </w:tcPr>
          <w:p w14:paraId="3FB18297" w14:textId="38AD03AE" w:rsidR="008553D9" w:rsidRPr="00455909" w:rsidRDefault="008553D9" w:rsidP="008553D9">
            <w:pPr>
              <w:rPr>
                <w:rFonts w:ascii="Times New Roman" w:hAnsi="Times New Roman" w:cs="Times New Roman"/>
                <w:sz w:val="22"/>
                <w:szCs w:val="22"/>
              </w:rPr>
            </w:pPr>
            <m:oMathPara>
              <m:oMath>
                <m:r>
                  <w:rPr>
                    <w:rFonts w:ascii="Cambria Math" w:hAnsi="Cambria Math" w:cs="Times New Roman"/>
                    <w:sz w:val="22"/>
                    <w:szCs w:val="22"/>
                  </w:rPr>
                  <m:t>200</m:t>
                </m:r>
              </m:oMath>
            </m:oMathPara>
          </w:p>
        </w:tc>
      </w:tr>
      <w:tr w:rsidR="008553D9" w:rsidRPr="00455909" w14:paraId="413D0D0F" w14:textId="77777777" w:rsidTr="008553D9">
        <w:tc>
          <w:tcPr>
            <w:tcW w:w="3020" w:type="dxa"/>
            <w:vAlign w:val="center"/>
          </w:tcPr>
          <w:p w14:paraId="4A4BCDA5" w14:textId="74643E5C" w:rsidR="008553D9" w:rsidRPr="00455909" w:rsidRDefault="00000000" w:rsidP="008553D9">
            <w:pPr>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c</m:t>
                    </m:r>
                  </m:sub>
                </m:sSub>
              </m:oMath>
            </m:oMathPara>
          </w:p>
        </w:tc>
        <w:tc>
          <w:tcPr>
            <w:tcW w:w="3021" w:type="dxa"/>
            <w:vAlign w:val="center"/>
          </w:tcPr>
          <w:p w14:paraId="591D0523" w14:textId="20A33F43" w:rsidR="008553D9" w:rsidRPr="00455909" w:rsidRDefault="008553D9" w:rsidP="008553D9">
            <w:pPr>
              <w:rPr>
                <w:rFonts w:ascii="Times New Roman" w:hAnsi="Times New Roman" w:cs="Times New Roman"/>
                <w:sz w:val="22"/>
                <w:szCs w:val="22"/>
              </w:rPr>
            </w:pPr>
            <w:r w:rsidRPr="00455909">
              <w:rPr>
                <w:rFonts w:ascii="Times New Roman" w:hAnsi="Times New Roman" w:cs="Times New Roman"/>
                <w:sz w:val="22"/>
                <w:szCs w:val="22"/>
              </w:rPr>
              <w:t>Batch-Aware Crossover probability</w:t>
            </w:r>
          </w:p>
        </w:tc>
        <w:tc>
          <w:tcPr>
            <w:tcW w:w="3021" w:type="dxa"/>
            <w:vAlign w:val="center"/>
          </w:tcPr>
          <w:p w14:paraId="495AF385" w14:textId="458D5E88" w:rsidR="008553D9" w:rsidRPr="00455909" w:rsidRDefault="008553D9" w:rsidP="008553D9">
            <w:pPr>
              <w:rPr>
                <w:rFonts w:ascii="Times New Roman" w:hAnsi="Times New Roman" w:cs="Times New Roman"/>
                <w:sz w:val="22"/>
                <w:szCs w:val="22"/>
              </w:rPr>
            </w:pPr>
            <m:oMathPara>
              <m:oMath>
                <m:r>
                  <w:rPr>
                    <w:rFonts w:ascii="Cambria Math" w:hAnsi="Cambria Math" w:cs="Times New Roman"/>
                    <w:sz w:val="22"/>
                    <w:szCs w:val="22"/>
                  </w:rPr>
                  <m:t>0.90</m:t>
                </m:r>
              </m:oMath>
            </m:oMathPara>
          </w:p>
        </w:tc>
      </w:tr>
      <w:tr w:rsidR="008553D9" w:rsidRPr="00455909" w14:paraId="2D6232E6" w14:textId="77777777" w:rsidTr="008553D9">
        <w:tc>
          <w:tcPr>
            <w:tcW w:w="3020" w:type="dxa"/>
            <w:vAlign w:val="center"/>
          </w:tcPr>
          <w:p w14:paraId="4698B32B" w14:textId="4CC85DE8" w:rsidR="008553D9" w:rsidRPr="00455909" w:rsidRDefault="00000000" w:rsidP="008553D9">
            <w:pPr>
              <w:rPr>
                <w:rFonts w:ascii="Times New Roman" w:eastAsia="Aptos"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m</m:t>
                    </m:r>
                  </m:sub>
                </m:sSub>
              </m:oMath>
            </m:oMathPara>
          </w:p>
        </w:tc>
        <w:tc>
          <w:tcPr>
            <w:tcW w:w="3021" w:type="dxa"/>
            <w:vAlign w:val="center"/>
          </w:tcPr>
          <w:p w14:paraId="6B1E55AE" w14:textId="2541B515" w:rsidR="008553D9" w:rsidRPr="00455909" w:rsidRDefault="008553D9" w:rsidP="008553D9">
            <w:pPr>
              <w:rPr>
                <w:rFonts w:ascii="Times New Roman" w:hAnsi="Times New Roman" w:cs="Times New Roman"/>
                <w:sz w:val="22"/>
                <w:szCs w:val="22"/>
              </w:rPr>
            </w:pPr>
            <w:r w:rsidRPr="00455909">
              <w:rPr>
                <w:rFonts w:ascii="Times New Roman" w:hAnsi="Times New Roman" w:cs="Times New Roman"/>
                <w:sz w:val="22"/>
                <w:szCs w:val="22"/>
              </w:rPr>
              <w:t>Mutation probability (per chromosome)</w:t>
            </w:r>
          </w:p>
        </w:tc>
        <w:tc>
          <w:tcPr>
            <w:tcW w:w="3021" w:type="dxa"/>
            <w:vAlign w:val="center"/>
          </w:tcPr>
          <w:p w14:paraId="05C9E4FB" w14:textId="3452E475" w:rsidR="008553D9" w:rsidRPr="00455909" w:rsidRDefault="008553D9" w:rsidP="008553D9">
            <w:pPr>
              <w:rPr>
                <w:rFonts w:ascii="Times New Roman" w:eastAsia="Aptos" w:hAnsi="Times New Roman" w:cs="Times New Roman"/>
                <w:sz w:val="22"/>
                <w:szCs w:val="22"/>
              </w:rPr>
            </w:pPr>
            <m:oMath>
              <m:r>
                <w:rPr>
                  <w:rFonts w:ascii="Cambria Math" w:hAnsi="Cambria Math" w:cs="Times New Roman"/>
                  <w:sz w:val="22"/>
                  <w:szCs w:val="22"/>
                </w:rPr>
                <m:t>1/‖I‖</m:t>
              </m:r>
            </m:oMath>
            <w:r w:rsidRPr="00455909">
              <w:rPr>
                <w:rFonts w:ascii="Times New Roman" w:hAnsi="Times New Roman" w:cs="Times New Roman"/>
                <w:sz w:val="22"/>
                <w:szCs w:val="22"/>
              </w:rPr>
              <w:t xml:space="preserve"> (where </w:t>
            </w:r>
            <m:oMath>
              <m:r>
                <w:rPr>
                  <w:rFonts w:ascii="Cambria Math" w:hAnsi="Cambria Math" w:cs="Times New Roman"/>
                  <w:sz w:val="22"/>
                  <w:szCs w:val="22"/>
                </w:rPr>
                <m:t>‖I‖</m:t>
              </m:r>
            </m:oMath>
            <w:r w:rsidRPr="00455909">
              <w:rPr>
                <w:rFonts w:ascii="Times New Roman" w:hAnsi="Times New Roman" w:cs="Times New Roman"/>
                <w:sz w:val="22"/>
                <w:szCs w:val="22"/>
              </w:rPr>
              <w:t xml:space="preserve"> is the number of parts)</w:t>
            </w:r>
          </w:p>
        </w:tc>
      </w:tr>
      <w:tr w:rsidR="008553D9" w:rsidRPr="00455909" w14:paraId="3EBCAD20" w14:textId="77777777" w:rsidTr="008553D9">
        <w:tc>
          <w:tcPr>
            <w:tcW w:w="3020" w:type="dxa"/>
            <w:vAlign w:val="center"/>
          </w:tcPr>
          <w:p w14:paraId="23B6D4CF" w14:textId="17844FDB" w:rsidR="008553D9" w:rsidRPr="00455909" w:rsidRDefault="00000000" w:rsidP="008553D9">
            <w:pPr>
              <w:rPr>
                <w:rFonts w:ascii="Times New Roman" w:eastAsia="Aptos"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ls</m:t>
                    </m:r>
                  </m:sub>
                </m:sSub>
              </m:oMath>
            </m:oMathPara>
          </w:p>
        </w:tc>
        <w:tc>
          <w:tcPr>
            <w:tcW w:w="3021" w:type="dxa"/>
            <w:vAlign w:val="center"/>
          </w:tcPr>
          <w:p w14:paraId="380ED301" w14:textId="2A5531B2" w:rsidR="008553D9" w:rsidRPr="00455909" w:rsidRDefault="008553D9" w:rsidP="008553D9">
            <w:pPr>
              <w:rPr>
                <w:rFonts w:ascii="Times New Roman" w:hAnsi="Times New Roman" w:cs="Times New Roman"/>
                <w:sz w:val="22"/>
                <w:szCs w:val="22"/>
              </w:rPr>
            </w:pPr>
            <w:r w:rsidRPr="00455909">
              <w:rPr>
                <w:rFonts w:ascii="Times New Roman" w:hAnsi="Times New Roman" w:cs="Times New Roman"/>
                <w:sz w:val="22"/>
                <w:szCs w:val="22"/>
              </w:rPr>
              <w:t>Break-Even Local Search probability (per offspring)</w:t>
            </w:r>
          </w:p>
        </w:tc>
        <w:tc>
          <w:tcPr>
            <w:tcW w:w="3021" w:type="dxa"/>
            <w:vAlign w:val="center"/>
          </w:tcPr>
          <w:p w14:paraId="2BC1A3FB" w14:textId="3DF63CAC" w:rsidR="008553D9" w:rsidRPr="00455909" w:rsidRDefault="008553D9" w:rsidP="008553D9">
            <w:pPr>
              <w:rPr>
                <w:rFonts w:ascii="Times New Roman" w:eastAsia="Aptos" w:hAnsi="Times New Roman" w:cs="Times New Roman"/>
                <w:sz w:val="22"/>
                <w:szCs w:val="22"/>
              </w:rPr>
            </w:pPr>
            <m:oMathPara>
              <m:oMath>
                <m:r>
                  <w:rPr>
                    <w:rFonts w:ascii="Cambria Math" w:hAnsi="Cambria Math" w:cs="Times New Roman"/>
                    <w:sz w:val="22"/>
                    <w:szCs w:val="22"/>
                  </w:rPr>
                  <m:t>0.10</m:t>
                </m:r>
              </m:oMath>
            </m:oMathPara>
          </w:p>
        </w:tc>
      </w:tr>
      <w:tr w:rsidR="008553D9" w:rsidRPr="00455909" w14:paraId="360FD743" w14:textId="77777777" w:rsidTr="008553D9">
        <w:tc>
          <w:tcPr>
            <w:tcW w:w="3020" w:type="dxa"/>
            <w:vAlign w:val="center"/>
          </w:tcPr>
          <w:p w14:paraId="09E11381" w14:textId="7FEFBDD1" w:rsidR="008553D9" w:rsidRPr="00455909" w:rsidRDefault="008553D9" w:rsidP="008553D9">
            <w:pPr>
              <w:rPr>
                <w:rFonts w:ascii="Times New Roman" w:eastAsia="Aptos" w:hAnsi="Times New Roman" w:cs="Times New Roman"/>
                <w:sz w:val="22"/>
                <w:szCs w:val="22"/>
              </w:rPr>
            </w:pPr>
            <m:oMathPara>
              <m:oMath>
                <m:r>
                  <w:rPr>
                    <w:rFonts w:ascii="Cambria Math" w:hAnsi="Cambria Math" w:cs="Times New Roman"/>
                    <w:sz w:val="22"/>
                    <w:szCs w:val="22"/>
                  </w:rPr>
                  <m:t>L</m:t>
                </m:r>
                <m:sSub>
                  <m:sSubPr>
                    <m:ctrlPr>
                      <w:rPr>
                        <w:rFonts w:ascii="Cambria Math" w:hAnsi="Cambria Math" w:cs="Times New Roman"/>
                        <w:sz w:val="22"/>
                        <w:szCs w:val="22"/>
                      </w:rPr>
                    </m:ctrlPr>
                  </m:sSubPr>
                  <m:e>
                    <m:r>
                      <w:rPr>
                        <w:rFonts w:ascii="Cambria Math" w:hAnsi="Cambria Math" w:cs="Times New Roman"/>
                        <w:sz w:val="22"/>
                        <w:szCs w:val="22"/>
                      </w:rPr>
                      <m:t>S</m:t>
                    </m:r>
                  </m:e>
                  <m:sub>
                    <m:r>
                      <w:rPr>
                        <w:rFonts w:ascii="Cambria Math" w:hAnsi="Cambria Math" w:cs="Times New Roman"/>
                        <w:sz w:val="22"/>
                        <w:szCs w:val="22"/>
                      </w:rPr>
                      <m:t>frac</m:t>
                    </m:r>
                  </m:sub>
                </m:sSub>
              </m:oMath>
            </m:oMathPara>
          </w:p>
        </w:tc>
        <w:tc>
          <w:tcPr>
            <w:tcW w:w="3021" w:type="dxa"/>
            <w:vAlign w:val="center"/>
          </w:tcPr>
          <w:p w14:paraId="1AB5EDEB" w14:textId="33F17626" w:rsidR="008553D9" w:rsidRPr="00455909" w:rsidRDefault="008553D9" w:rsidP="008553D9">
            <w:pPr>
              <w:rPr>
                <w:rFonts w:ascii="Times New Roman" w:hAnsi="Times New Roman" w:cs="Times New Roman"/>
                <w:sz w:val="22"/>
                <w:szCs w:val="22"/>
              </w:rPr>
            </w:pPr>
            <w:r w:rsidRPr="00455909">
              <w:rPr>
                <w:rFonts w:ascii="Times New Roman" w:hAnsi="Times New Roman" w:cs="Times New Roman"/>
                <w:sz w:val="22"/>
                <w:szCs w:val="22"/>
              </w:rPr>
              <w:t>Fraction of parts evaluated during Local Search</w:t>
            </w:r>
          </w:p>
        </w:tc>
        <w:tc>
          <w:tcPr>
            <w:tcW w:w="3021" w:type="dxa"/>
            <w:vAlign w:val="center"/>
          </w:tcPr>
          <w:p w14:paraId="507510BC" w14:textId="3B66A137" w:rsidR="008553D9" w:rsidRPr="00455909" w:rsidRDefault="008553D9" w:rsidP="008553D9">
            <w:pPr>
              <w:rPr>
                <w:rFonts w:ascii="Times New Roman" w:eastAsia="Aptos" w:hAnsi="Times New Roman" w:cs="Times New Roman"/>
                <w:sz w:val="22"/>
                <w:szCs w:val="22"/>
              </w:rPr>
            </w:pPr>
            <m:oMath>
              <m:r>
                <w:rPr>
                  <w:rFonts w:ascii="Cambria Math" w:hAnsi="Cambria Math" w:cs="Times New Roman"/>
                  <w:sz w:val="22"/>
                  <w:szCs w:val="22"/>
                </w:rPr>
                <m:t>0.05</m:t>
              </m:r>
            </m:oMath>
            <w:r w:rsidRPr="00455909">
              <w:rPr>
                <w:rFonts w:ascii="Times New Roman" w:hAnsi="Times New Roman" w:cs="Times New Roman"/>
                <w:sz w:val="22"/>
                <w:szCs w:val="22"/>
              </w:rPr>
              <w:t xml:space="preserve"> (5% of the total parts)</w:t>
            </w:r>
          </w:p>
        </w:tc>
      </w:tr>
      <w:tr w:rsidR="008553D9" w:rsidRPr="00455909" w14:paraId="083D05C7" w14:textId="77777777" w:rsidTr="008553D9">
        <w:tc>
          <w:tcPr>
            <w:tcW w:w="3020" w:type="dxa"/>
            <w:vAlign w:val="center"/>
          </w:tcPr>
          <w:p w14:paraId="42CD56C0" w14:textId="495A038D" w:rsidR="008553D9" w:rsidRPr="00455909" w:rsidRDefault="008553D9" w:rsidP="008553D9">
            <w:pPr>
              <w:jc w:val="center"/>
              <w:rPr>
                <w:rFonts w:ascii="Times New Roman" w:eastAsia="Aptos" w:hAnsi="Times New Roman" w:cs="Times New Roman"/>
                <w:sz w:val="22"/>
                <w:szCs w:val="22"/>
              </w:rPr>
            </w:pPr>
            <w:r w:rsidRPr="00455909">
              <w:rPr>
                <w:rFonts w:ascii="Times New Roman" w:hAnsi="Times New Roman" w:cs="Times New Roman"/>
                <w:sz w:val="22"/>
                <w:szCs w:val="22"/>
              </w:rPr>
              <w:t>-</w:t>
            </w:r>
          </w:p>
        </w:tc>
        <w:tc>
          <w:tcPr>
            <w:tcW w:w="3021" w:type="dxa"/>
            <w:vAlign w:val="center"/>
          </w:tcPr>
          <w:p w14:paraId="5A85D93E" w14:textId="1D471762" w:rsidR="008553D9" w:rsidRPr="00455909" w:rsidRDefault="008553D9" w:rsidP="008553D9">
            <w:pPr>
              <w:rPr>
                <w:rFonts w:ascii="Times New Roman" w:hAnsi="Times New Roman" w:cs="Times New Roman"/>
                <w:sz w:val="22"/>
                <w:szCs w:val="22"/>
              </w:rPr>
            </w:pPr>
            <w:r w:rsidRPr="00455909">
              <w:rPr>
                <w:rFonts w:ascii="Times New Roman" w:hAnsi="Times New Roman" w:cs="Times New Roman"/>
                <w:sz w:val="22"/>
                <w:szCs w:val="22"/>
              </w:rPr>
              <w:t>Selection mechanism</w:t>
            </w:r>
          </w:p>
        </w:tc>
        <w:tc>
          <w:tcPr>
            <w:tcW w:w="3021" w:type="dxa"/>
            <w:vAlign w:val="center"/>
          </w:tcPr>
          <w:p w14:paraId="5BEC0307" w14:textId="4B58D84D" w:rsidR="008553D9" w:rsidRPr="00455909" w:rsidRDefault="008553D9" w:rsidP="008553D9">
            <w:pPr>
              <w:rPr>
                <w:rFonts w:ascii="Times New Roman" w:eastAsia="Aptos" w:hAnsi="Times New Roman" w:cs="Times New Roman"/>
                <w:sz w:val="22"/>
                <w:szCs w:val="22"/>
              </w:rPr>
            </w:pPr>
            <w:r w:rsidRPr="00455909">
              <w:rPr>
                <w:rFonts w:ascii="Times New Roman" w:hAnsi="Times New Roman" w:cs="Times New Roman"/>
                <w:sz w:val="22"/>
                <w:szCs w:val="22"/>
              </w:rPr>
              <w:t>Binary Tournament Selection (comparing Rank and Crowding Distance)</w:t>
            </w:r>
          </w:p>
        </w:tc>
      </w:tr>
      <w:tr w:rsidR="008553D9" w:rsidRPr="00455909" w14:paraId="7EE68ACB" w14:textId="77777777" w:rsidTr="008553D9">
        <w:tc>
          <w:tcPr>
            <w:tcW w:w="3020" w:type="dxa"/>
            <w:vAlign w:val="center"/>
          </w:tcPr>
          <w:p w14:paraId="04BB299F" w14:textId="2A6EE9AD" w:rsidR="008553D9" w:rsidRPr="00455909" w:rsidRDefault="008553D9" w:rsidP="008553D9">
            <w:pPr>
              <w:jc w:val="center"/>
              <w:rPr>
                <w:rFonts w:ascii="Times New Roman" w:eastAsia="Aptos" w:hAnsi="Times New Roman" w:cs="Times New Roman"/>
                <w:sz w:val="22"/>
                <w:szCs w:val="22"/>
              </w:rPr>
            </w:pPr>
            <w:r w:rsidRPr="00455909">
              <w:rPr>
                <w:rFonts w:ascii="Times New Roman" w:hAnsi="Times New Roman" w:cs="Times New Roman"/>
                <w:sz w:val="22"/>
                <w:szCs w:val="22"/>
              </w:rPr>
              <w:t>-</w:t>
            </w:r>
          </w:p>
        </w:tc>
        <w:tc>
          <w:tcPr>
            <w:tcW w:w="3021" w:type="dxa"/>
            <w:vAlign w:val="center"/>
          </w:tcPr>
          <w:p w14:paraId="1B3868CB" w14:textId="7C07544E" w:rsidR="008553D9" w:rsidRPr="00455909" w:rsidRDefault="008553D9" w:rsidP="008553D9">
            <w:pPr>
              <w:rPr>
                <w:rFonts w:ascii="Times New Roman" w:hAnsi="Times New Roman" w:cs="Times New Roman"/>
                <w:sz w:val="22"/>
                <w:szCs w:val="22"/>
              </w:rPr>
            </w:pPr>
            <w:r w:rsidRPr="00455909">
              <w:rPr>
                <w:rFonts w:ascii="Times New Roman" w:hAnsi="Times New Roman" w:cs="Times New Roman"/>
                <w:sz w:val="22"/>
                <w:szCs w:val="22"/>
              </w:rPr>
              <w:t>Mutation operators</w:t>
            </w:r>
          </w:p>
        </w:tc>
        <w:tc>
          <w:tcPr>
            <w:tcW w:w="3021" w:type="dxa"/>
            <w:vAlign w:val="center"/>
          </w:tcPr>
          <w:p w14:paraId="5E18F7C8" w14:textId="403A38F6" w:rsidR="008553D9" w:rsidRPr="00455909" w:rsidRDefault="008553D9" w:rsidP="008553D9">
            <w:pPr>
              <w:rPr>
                <w:rFonts w:ascii="Times New Roman" w:eastAsia="Aptos" w:hAnsi="Times New Roman" w:cs="Times New Roman"/>
                <w:sz w:val="22"/>
                <w:szCs w:val="22"/>
              </w:rPr>
            </w:pPr>
            <w:r w:rsidRPr="00455909">
              <w:rPr>
                <w:rFonts w:ascii="Times New Roman" w:hAnsi="Times New Roman" w:cs="Times New Roman"/>
                <w:sz w:val="22"/>
                <w:szCs w:val="22"/>
              </w:rPr>
              <w:t>Swap, Relocate, or Orient (applied uniformly at random)</w:t>
            </w:r>
          </w:p>
        </w:tc>
      </w:tr>
      <w:tr w:rsidR="008553D9" w:rsidRPr="00455909" w14:paraId="287BA886" w14:textId="77777777" w:rsidTr="008553D9">
        <w:tc>
          <w:tcPr>
            <w:tcW w:w="3020" w:type="dxa"/>
            <w:tcBorders>
              <w:bottom w:val="single" w:sz="4" w:space="0" w:color="auto"/>
            </w:tcBorders>
            <w:vAlign w:val="center"/>
          </w:tcPr>
          <w:p w14:paraId="19A71588" w14:textId="14A7FC54" w:rsidR="008553D9" w:rsidRPr="00455909" w:rsidRDefault="008553D9" w:rsidP="008553D9">
            <w:pPr>
              <w:jc w:val="center"/>
              <w:rPr>
                <w:rFonts w:ascii="Times New Roman" w:eastAsia="Aptos" w:hAnsi="Times New Roman" w:cs="Times New Roman"/>
                <w:sz w:val="22"/>
                <w:szCs w:val="22"/>
              </w:rPr>
            </w:pPr>
            <w:r w:rsidRPr="00455909">
              <w:rPr>
                <w:rFonts w:ascii="Times New Roman" w:hAnsi="Times New Roman" w:cs="Times New Roman"/>
                <w:sz w:val="22"/>
                <w:szCs w:val="22"/>
              </w:rPr>
              <w:t>-</w:t>
            </w:r>
          </w:p>
        </w:tc>
        <w:tc>
          <w:tcPr>
            <w:tcW w:w="3021" w:type="dxa"/>
            <w:tcBorders>
              <w:bottom w:val="single" w:sz="4" w:space="0" w:color="auto"/>
            </w:tcBorders>
            <w:vAlign w:val="center"/>
          </w:tcPr>
          <w:p w14:paraId="39F1B50F" w14:textId="0B87D685" w:rsidR="008553D9" w:rsidRPr="00455909" w:rsidRDefault="008553D9" w:rsidP="008553D9">
            <w:pPr>
              <w:rPr>
                <w:rFonts w:ascii="Times New Roman" w:hAnsi="Times New Roman" w:cs="Times New Roman"/>
                <w:sz w:val="22"/>
                <w:szCs w:val="22"/>
              </w:rPr>
            </w:pPr>
            <w:r w:rsidRPr="00455909">
              <w:rPr>
                <w:rFonts w:ascii="Times New Roman" w:hAnsi="Times New Roman" w:cs="Times New Roman"/>
                <w:sz w:val="22"/>
                <w:szCs w:val="22"/>
              </w:rPr>
              <w:t>Elitism</w:t>
            </w:r>
          </w:p>
        </w:tc>
        <w:tc>
          <w:tcPr>
            <w:tcW w:w="3021" w:type="dxa"/>
            <w:tcBorders>
              <w:bottom w:val="single" w:sz="4" w:space="0" w:color="auto"/>
            </w:tcBorders>
            <w:vAlign w:val="center"/>
          </w:tcPr>
          <w:p w14:paraId="08BBD233" w14:textId="753D6209" w:rsidR="008553D9" w:rsidRPr="00455909" w:rsidRDefault="008553D9" w:rsidP="008553D9">
            <w:pPr>
              <w:rPr>
                <w:rFonts w:ascii="Times New Roman" w:eastAsia="Aptos" w:hAnsi="Times New Roman" w:cs="Times New Roman"/>
                <w:sz w:val="22"/>
                <w:szCs w:val="22"/>
              </w:rPr>
            </w:pPr>
            <w:r w:rsidRPr="00455909">
              <w:rPr>
                <w:rFonts w:ascii="Times New Roman" w:hAnsi="Times New Roman" w:cs="Times New Roman"/>
                <w:sz w:val="22"/>
                <w:szCs w:val="22"/>
              </w:rPr>
              <w:t>Non-dominated sorting with Crowding Distance (Standard NSGA-II)</w:t>
            </w:r>
          </w:p>
        </w:tc>
      </w:tr>
    </w:tbl>
    <w:p w14:paraId="370DDD36" w14:textId="77777777" w:rsidR="008553D9" w:rsidRPr="008553D9" w:rsidRDefault="008553D9" w:rsidP="008553D9"/>
    <w:p w14:paraId="758E286A" w14:textId="3CE0216C" w:rsidR="008553D9" w:rsidRPr="007C477E" w:rsidRDefault="008553D9" w:rsidP="007C477E">
      <w:pPr>
        <w:jc w:val="both"/>
        <w:rPr>
          <w:rFonts w:ascii="Times New Roman" w:eastAsia="Times New Roman" w:hAnsi="Times New Roman" w:cs="Times New Roman"/>
          <w:kern w:val="0"/>
          <w:lang w:val="en-US" w:eastAsia="en-GB"/>
          <w14:ligatures w14:val="none"/>
        </w:rPr>
      </w:pPr>
      <w:r w:rsidRPr="00455909">
        <w:rPr>
          <w:rFonts w:ascii="Times New Roman" w:eastAsia="Times New Roman" w:hAnsi="Times New Roman" w:cs="Times New Roman"/>
          <w:b/>
          <w:bCs/>
          <w:i/>
          <w:iCs/>
          <w:kern w:val="0"/>
          <w:lang w:val="en-US" w:eastAsia="en-GB"/>
          <w14:ligatures w14:val="none"/>
        </w:rPr>
        <w:t>Note:</w:t>
      </w:r>
      <w:r w:rsidRPr="007C477E">
        <w:rPr>
          <w:rFonts w:ascii="Times New Roman" w:eastAsia="Times New Roman" w:hAnsi="Times New Roman" w:cs="Times New Roman"/>
          <w:kern w:val="0"/>
          <w:lang w:val="en-US" w:eastAsia="en-GB"/>
          <w14:ligatures w14:val="none"/>
        </w:rPr>
        <w:t xml:space="preserve"> For the scalability stress tests on larger instances, the population size and maximum generations were dynamically scaled relative to the number of parts as </w:t>
      </w:r>
      <m:oMath>
        <m:r>
          <w:rPr>
            <w:rFonts w:ascii="Cambria Math" w:eastAsia="Times New Roman" w:hAnsi="Cambria Math" w:cs="Times New Roman"/>
            <w:kern w:val="0"/>
            <w:lang w:val="en-US" w:eastAsia="en-GB"/>
            <w14:ligatures w14:val="none"/>
          </w:rPr>
          <m:t>N</m:t>
        </m:r>
        <m:r>
          <m:rPr>
            <m:sty m:val="p"/>
          </m:rPr>
          <w:rPr>
            <w:rFonts w:ascii="Cambria Math" w:eastAsia="Times New Roman" w:hAnsi="Cambria Math" w:cs="Times New Roman"/>
            <w:kern w:val="0"/>
            <w:lang w:val="en-US" w:eastAsia="en-GB"/>
            <w14:ligatures w14:val="none"/>
          </w:rPr>
          <m:t>=</m:t>
        </m:r>
        <m:func>
          <m:funcPr>
            <m:ctrlPr>
              <w:rPr>
                <w:rFonts w:ascii="Cambria Math" w:eastAsia="Times New Roman" w:hAnsi="Cambria Math" w:cs="Times New Roman"/>
                <w:kern w:val="0"/>
                <w:lang w:val="en-US" w:eastAsia="en-GB"/>
                <w14:ligatures w14:val="none"/>
              </w:rPr>
            </m:ctrlPr>
          </m:funcPr>
          <m:fName>
            <m:r>
              <m:rPr>
                <m:sty m:val="p"/>
              </m:rPr>
              <w:rPr>
                <w:rFonts w:ascii="Cambria Math" w:eastAsia="Times New Roman" w:hAnsi="Cambria Math" w:cs="Times New Roman"/>
                <w:kern w:val="0"/>
                <w:lang w:val="en-US" w:eastAsia="en-GB"/>
                <w14:ligatures w14:val="none"/>
              </w:rPr>
              <m:t>max</m:t>
            </m:r>
          </m:fName>
          <m:e>
            <m:d>
              <m:dPr>
                <m:ctrlPr>
                  <w:rPr>
                    <w:rFonts w:ascii="Cambria Math" w:eastAsia="Times New Roman" w:hAnsi="Cambria Math" w:cs="Times New Roman"/>
                    <w:kern w:val="0"/>
                    <w:lang w:val="en-US" w:eastAsia="en-GB"/>
                    <w14:ligatures w14:val="none"/>
                  </w:rPr>
                </m:ctrlPr>
              </m:dPr>
              <m:e>
                <m:r>
                  <m:rPr>
                    <m:sty m:val="p"/>
                  </m:rPr>
                  <w:rPr>
                    <w:rFonts w:ascii="Cambria Math" w:eastAsia="Times New Roman" w:hAnsi="Cambria Math" w:cs="Times New Roman"/>
                    <w:kern w:val="0"/>
                    <w:lang w:val="en-US" w:eastAsia="en-GB"/>
                    <w14:ligatures w14:val="none"/>
                  </w:rPr>
                  <m:t>20,5×‖</m:t>
                </m:r>
                <m:r>
                  <w:rPr>
                    <w:rFonts w:ascii="Cambria Math" w:eastAsia="Times New Roman" w:hAnsi="Cambria Math" w:cs="Times New Roman"/>
                    <w:kern w:val="0"/>
                    <w:lang w:val="en-US" w:eastAsia="en-GB"/>
                    <w14:ligatures w14:val="none"/>
                  </w:rPr>
                  <m:t>I</m:t>
                </m:r>
                <m:r>
                  <m:rPr>
                    <m:sty m:val="p"/>
                  </m:rPr>
                  <w:rPr>
                    <w:rFonts w:ascii="Cambria Math" w:eastAsia="Times New Roman" w:hAnsi="Cambria Math" w:cs="Times New Roman"/>
                    <w:kern w:val="0"/>
                    <w:lang w:val="en-US" w:eastAsia="en-GB"/>
                    <w14:ligatures w14:val="none"/>
                  </w:rPr>
                  <m:t>‖</m:t>
                </m:r>
              </m:e>
            </m:d>
          </m:e>
        </m:func>
      </m:oMath>
      <w:r w:rsidRPr="007C477E">
        <w:rPr>
          <w:rFonts w:ascii="Times New Roman" w:eastAsia="Times New Roman" w:hAnsi="Times New Roman" w:cs="Times New Roman"/>
          <w:kern w:val="0"/>
          <w:lang w:val="en-US" w:eastAsia="en-GB"/>
          <w14:ligatures w14:val="none"/>
        </w:rPr>
        <w:t xml:space="preserve"> and </w:t>
      </w:r>
      <m:oMath>
        <m:r>
          <w:rPr>
            <w:rFonts w:ascii="Cambria Math" w:eastAsia="Times New Roman" w:hAnsi="Cambria Math" w:cs="Times New Roman"/>
            <w:kern w:val="0"/>
            <w:lang w:val="en-US" w:eastAsia="en-GB"/>
            <w14:ligatures w14:val="none"/>
          </w:rPr>
          <m:t>Ge</m:t>
        </m:r>
        <m:sSub>
          <m:sSubPr>
            <m:ctrlPr>
              <w:rPr>
                <w:rFonts w:ascii="Cambria Math" w:eastAsia="Times New Roman" w:hAnsi="Cambria Math" w:cs="Times New Roman"/>
                <w:kern w:val="0"/>
                <w:lang w:val="en-US" w:eastAsia="en-GB"/>
                <w14:ligatures w14:val="none"/>
              </w:rPr>
            </m:ctrlPr>
          </m:sSubPr>
          <m:e>
            <m:r>
              <w:rPr>
                <w:rFonts w:ascii="Cambria Math" w:eastAsia="Times New Roman" w:hAnsi="Cambria Math" w:cs="Times New Roman"/>
                <w:kern w:val="0"/>
                <w:lang w:val="en-US" w:eastAsia="en-GB"/>
                <w14:ligatures w14:val="none"/>
              </w:rPr>
              <m:t>n</m:t>
            </m:r>
          </m:e>
          <m:sub>
            <m:r>
              <w:rPr>
                <w:rFonts w:ascii="Cambria Math" w:eastAsia="Times New Roman" w:hAnsi="Cambria Math" w:cs="Times New Roman"/>
                <w:kern w:val="0"/>
                <w:lang w:val="en-US" w:eastAsia="en-GB"/>
                <w14:ligatures w14:val="none"/>
              </w:rPr>
              <m:t>max</m:t>
            </m:r>
          </m:sub>
        </m:sSub>
        <m:r>
          <m:rPr>
            <m:sty m:val="p"/>
          </m:rPr>
          <w:rPr>
            <w:rFonts w:ascii="Cambria Math" w:eastAsia="Times New Roman" w:hAnsi="Cambria Math" w:cs="Times New Roman"/>
            <w:kern w:val="0"/>
            <w:lang w:val="en-US" w:eastAsia="en-GB"/>
            <w14:ligatures w14:val="none"/>
          </w:rPr>
          <m:t>=</m:t>
        </m:r>
        <m:func>
          <m:funcPr>
            <m:ctrlPr>
              <w:rPr>
                <w:rFonts w:ascii="Cambria Math" w:eastAsia="Times New Roman" w:hAnsi="Cambria Math" w:cs="Times New Roman"/>
                <w:kern w:val="0"/>
                <w:lang w:val="en-US" w:eastAsia="en-GB"/>
                <w14:ligatures w14:val="none"/>
              </w:rPr>
            </m:ctrlPr>
          </m:funcPr>
          <m:fName>
            <m:r>
              <m:rPr>
                <m:sty m:val="p"/>
              </m:rPr>
              <w:rPr>
                <w:rFonts w:ascii="Cambria Math" w:eastAsia="Times New Roman" w:hAnsi="Cambria Math" w:cs="Times New Roman"/>
                <w:kern w:val="0"/>
                <w:lang w:val="en-US" w:eastAsia="en-GB"/>
                <w14:ligatures w14:val="none"/>
              </w:rPr>
              <m:t>max</m:t>
            </m:r>
          </m:fName>
          <m:e>
            <m:d>
              <m:dPr>
                <m:ctrlPr>
                  <w:rPr>
                    <w:rFonts w:ascii="Cambria Math" w:eastAsia="Times New Roman" w:hAnsi="Cambria Math" w:cs="Times New Roman"/>
                    <w:kern w:val="0"/>
                    <w:lang w:val="en-US" w:eastAsia="en-GB"/>
                    <w14:ligatures w14:val="none"/>
                  </w:rPr>
                </m:ctrlPr>
              </m:dPr>
              <m:e>
                <m:r>
                  <m:rPr>
                    <m:sty m:val="p"/>
                  </m:rPr>
                  <w:rPr>
                    <w:rFonts w:ascii="Cambria Math" w:eastAsia="Times New Roman" w:hAnsi="Cambria Math" w:cs="Times New Roman"/>
                    <w:kern w:val="0"/>
                    <w:lang w:val="en-US" w:eastAsia="en-GB"/>
                    <w14:ligatures w14:val="none"/>
                  </w:rPr>
                  <m:t>2000,10×‖</m:t>
                </m:r>
                <m:r>
                  <w:rPr>
                    <w:rFonts w:ascii="Cambria Math" w:eastAsia="Times New Roman" w:hAnsi="Cambria Math" w:cs="Times New Roman"/>
                    <w:kern w:val="0"/>
                    <w:lang w:val="en-US" w:eastAsia="en-GB"/>
                    <w14:ligatures w14:val="none"/>
                  </w:rPr>
                  <m:t>I</m:t>
                </m:r>
                <m:r>
                  <m:rPr>
                    <m:sty m:val="p"/>
                  </m:rPr>
                  <w:rPr>
                    <w:rFonts w:ascii="Cambria Math" w:eastAsia="Times New Roman" w:hAnsi="Cambria Math" w:cs="Times New Roman"/>
                    <w:kern w:val="0"/>
                    <w:lang w:val="en-US" w:eastAsia="en-GB"/>
                    <w14:ligatures w14:val="none"/>
                  </w:rPr>
                  <m:t>‖</m:t>
                </m:r>
              </m:e>
            </m:d>
          </m:e>
        </m:func>
      </m:oMath>
      <w:r w:rsidRPr="007C477E">
        <w:rPr>
          <w:rFonts w:ascii="Times New Roman" w:eastAsia="Times New Roman" w:hAnsi="Times New Roman" w:cs="Times New Roman"/>
          <w:kern w:val="0"/>
          <w:lang w:val="en-US" w:eastAsia="en-GB"/>
          <w14:ligatures w14:val="none"/>
        </w:rPr>
        <w:t>, coupled with a stall-limit early stopping criterion to efficiently manage the computational budget.</w:t>
      </w:r>
    </w:p>
    <w:p w14:paraId="69B15115" w14:textId="5EC02EB8" w:rsidR="008553D9" w:rsidRPr="007C477E" w:rsidRDefault="00455909" w:rsidP="008553D9">
      <w:pPr>
        <w:rPr>
          <w:rFonts w:ascii="Times New Roman" w:hAnsi="Times New Roman" w:cs="Times New Roman"/>
          <w:b/>
          <w:bCs/>
        </w:rPr>
      </w:pPr>
      <w:r>
        <w:rPr>
          <w:rFonts w:ascii="Times New Roman" w:hAnsi="Times New Roman" w:cs="Times New Roman"/>
          <w:b/>
          <w:bCs/>
        </w:rPr>
        <w:t>C</w:t>
      </w:r>
      <w:r w:rsidR="008553D9" w:rsidRPr="007C477E">
        <w:rPr>
          <w:rFonts w:ascii="Times New Roman" w:hAnsi="Times New Roman" w:cs="Times New Roman"/>
          <w:b/>
          <w:bCs/>
        </w:rPr>
        <w:t>.2. Constraint Handling and Fitness Evaluation</w:t>
      </w:r>
    </w:p>
    <w:p w14:paraId="52808618" w14:textId="0F92527D" w:rsidR="008553D9" w:rsidRPr="007C477E" w:rsidRDefault="008553D9" w:rsidP="007C477E">
      <w:pPr>
        <w:jc w:val="both"/>
        <w:rPr>
          <w:rFonts w:ascii="Times New Roman" w:eastAsia="Times New Roman" w:hAnsi="Times New Roman" w:cs="Times New Roman"/>
          <w:kern w:val="0"/>
          <w:lang w:val="en-US" w:eastAsia="en-GB"/>
          <w14:ligatures w14:val="none"/>
        </w:rPr>
      </w:pPr>
      <w:r w:rsidRPr="007C477E">
        <w:rPr>
          <w:rFonts w:ascii="Times New Roman" w:eastAsia="Times New Roman" w:hAnsi="Times New Roman" w:cs="Times New Roman"/>
          <w:kern w:val="0"/>
          <w:lang w:val="en-US" w:eastAsia="en-GB"/>
          <w14:ligatures w14:val="none"/>
        </w:rPr>
        <w:t>Due to the heavily constrained nature of the 3D printing scheduling problem</w:t>
      </w:r>
      <w:r w:rsidR="00455909">
        <w:rPr>
          <w:rFonts w:ascii="Times New Roman" w:eastAsia="Times New Roman" w:hAnsi="Times New Roman" w:cs="Times New Roman"/>
          <w:kern w:val="0"/>
          <w:lang w:val="en-US" w:eastAsia="en-GB"/>
          <w14:ligatures w14:val="none"/>
        </w:rPr>
        <w:t xml:space="preserve">, </w:t>
      </w:r>
      <w:r w:rsidRPr="007C477E">
        <w:rPr>
          <w:rFonts w:ascii="Times New Roman" w:eastAsia="Times New Roman" w:hAnsi="Times New Roman" w:cs="Times New Roman"/>
          <w:kern w:val="0"/>
          <w:lang w:val="en-US" w:eastAsia="en-GB"/>
          <w14:ligatures w14:val="none"/>
        </w:rPr>
        <w:t>traditional penalty functions often fail to guide the population effectively. Therefore, the proposed M-NSGA-II evaluates individuals using Deb’s Constrained Dominance Principle. Under this rule, any feasible solution strictly dominates any infeasible solution. If both solutions are infeasible, the one with the smaller cumulative constraint violation (</w:t>
      </w:r>
      <m:oMath>
        <m:nary>
          <m:naryPr>
            <m:chr m:val="∑"/>
            <m:limLoc m:val="undOvr"/>
            <m:subHide m:val="1"/>
            <m:supHide m:val="1"/>
            <m:ctrlPr>
              <w:rPr>
                <w:rFonts w:ascii="Cambria Math" w:eastAsia="Times New Roman" w:hAnsi="Cambria Math" w:cs="Times New Roman"/>
                <w:kern w:val="0"/>
                <w:lang w:val="en-US" w:eastAsia="en-GB"/>
                <w14:ligatures w14:val="none"/>
              </w:rPr>
            </m:ctrlPr>
          </m:naryPr>
          <m:sub/>
          <m:sup/>
          <m:e>
            <m:r>
              <m:rPr>
                <m:nor/>
              </m:rPr>
              <w:rPr>
                <w:rFonts w:ascii="Times New Roman" w:eastAsia="Times New Roman" w:hAnsi="Times New Roman" w:cs="Times New Roman"/>
                <w:kern w:val="0"/>
                <w:lang w:val="en-US" w:eastAsia="en-GB"/>
                <w14:ligatures w14:val="none"/>
              </w:rPr>
              <m:t>capacity overflows</m:t>
            </m:r>
          </m:e>
        </m:nary>
      </m:oMath>
      <w:r w:rsidRPr="007C477E">
        <w:rPr>
          <w:rFonts w:ascii="Times New Roman" w:eastAsia="Times New Roman" w:hAnsi="Times New Roman" w:cs="Times New Roman"/>
          <w:kern w:val="0"/>
          <w:lang w:val="en-US" w:eastAsia="en-GB"/>
          <w14:ligatures w14:val="none"/>
        </w:rPr>
        <w:t>) dominates. Objective functions (</w:t>
      </w:r>
      <m:oMath>
        <m:sSub>
          <m:sSubPr>
            <m:ctrlPr>
              <w:rPr>
                <w:rFonts w:ascii="Cambria Math" w:eastAsia="Times New Roman" w:hAnsi="Cambria Math" w:cs="Times New Roman"/>
                <w:kern w:val="0"/>
                <w:lang w:val="en-US" w:eastAsia="en-GB"/>
                <w14:ligatures w14:val="none"/>
              </w:rPr>
            </m:ctrlPr>
          </m:sSubPr>
          <m:e>
            <m:r>
              <w:rPr>
                <w:rFonts w:ascii="Cambria Math" w:eastAsia="Times New Roman" w:hAnsi="Cambria Math" w:cs="Times New Roman"/>
                <w:kern w:val="0"/>
                <w:lang w:val="en-US" w:eastAsia="en-GB"/>
                <w14:ligatures w14:val="none"/>
              </w:rPr>
              <m:t>C</m:t>
            </m:r>
          </m:e>
          <m:sub>
            <m:r>
              <w:rPr>
                <w:rFonts w:ascii="Cambria Math" w:eastAsia="Times New Roman" w:hAnsi="Cambria Math" w:cs="Times New Roman"/>
                <w:kern w:val="0"/>
                <w:lang w:val="en-US" w:eastAsia="en-GB"/>
                <w14:ligatures w14:val="none"/>
              </w:rPr>
              <m:t>tot</m:t>
            </m:r>
          </m:sub>
        </m:sSub>
      </m:oMath>
      <w:r w:rsidRPr="007C477E">
        <w:rPr>
          <w:rFonts w:ascii="Times New Roman" w:eastAsia="Times New Roman" w:hAnsi="Times New Roman" w:cs="Times New Roman"/>
          <w:kern w:val="0"/>
          <w:lang w:val="en-US" w:eastAsia="en-GB"/>
          <w14:ligatures w14:val="none"/>
        </w:rPr>
        <w:t xml:space="preserve"> and </w:t>
      </w:r>
      <m:oMath>
        <m:r>
          <w:rPr>
            <w:rFonts w:ascii="Cambria Math" w:eastAsia="Times New Roman" w:hAnsi="Cambria Math" w:cs="Times New Roman"/>
            <w:kern w:val="0"/>
            <w:lang w:val="en-US" w:eastAsia="en-GB"/>
            <w14:ligatures w14:val="none"/>
          </w:rPr>
          <m:t>C</m:t>
        </m:r>
        <m:sSub>
          <m:sSubPr>
            <m:ctrlPr>
              <w:rPr>
                <w:rFonts w:ascii="Cambria Math" w:eastAsia="Times New Roman" w:hAnsi="Cambria Math" w:cs="Times New Roman"/>
                <w:kern w:val="0"/>
                <w:lang w:val="en-US" w:eastAsia="en-GB"/>
                <w14:ligatures w14:val="none"/>
              </w:rPr>
            </m:ctrlPr>
          </m:sSubPr>
          <m:e>
            <m:r>
              <w:rPr>
                <w:rFonts w:ascii="Cambria Math" w:eastAsia="Times New Roman" w:hAnsi="Cambria Math" w:cs="Times New Roman"/>
                <w:kern w:val="0"/>
                <w:lang w:val="en-US" w:eastAsia="en-GB"/>
                <w14:ligatures w14:val="none"/>
              </w:rPr>
              <m:t>E</m:t>
            </m:r>
          </m:e>
          <m:sub>
            <m:r>
              <w:rPr>
                <w:rFonts w:ascii="Cambria Math" w:eastAsia="Times New Roman" w:hAnsi="Cambria Math" w:cs="Times New Roman"/>
                <w:kern w:val="0"/>
                <w:lang w:val="en-US" w:eastAsia="en-GB"/>
                <w14:ligatures w14:val="none"/>
              </w:rPr>
              <m:t>tot</m:t>
            </m:r>
          </m:sub>
        </m:sSub>
      </m:oMath>
      <w:r w:rsidRPr="007C477E">
        <w:rPr>
          <w:rFonts w:ascii="Times New Roman" w:eastAsia="Times New Roman" w:hAnsi="Times New Roman" w:cs="Times New Roman"/>
          <w:kern w:val="0"/>
          <w:lang w:val="en-US" w:eastAsia="en-GB"/>
          <w14:ligatures w14:val="none"/>
        </w:rPr>
        <w:t xml:space="preserve">) are only compared when both solutions are completely </w:t>
      </w:r>
      <w:r w:rsidRPr="007C477E">
        <w:rPr>
          <w:rFonts w:ascii="Times New Roman" w:eastAsia="Times New Roman" w:hAnsi="Times New Roman" w:cs="Times New Roman"/>
          <w:kern w:val="0"/>
          <w:lang w:val="en-US" w:eastAsia="en-GB"/>
          <w14:ligatures w14:val="none"/>
        </w:rPr>
        <w:lastRenderedPageBreak/>
        <w:t>feasible or equally infeasible, ensuring that the evolutionary search pressure consistently drives the population toward the feasible regions of the solution space.</w:t>
      </w:r>
    </w:p>
    <w:p w14:paraId="27A51D0A" w14:textId="136791DA" w:rsidR="008553D9" w:rsidRPr="007C477E" w:rsidRDefault="00455909" w:rsidP="008553D9">
      <w:pPr>
        <w:rPr>
          <w:rFonts w:ascii="Times New Roman" w:hAnsi="Times New Roman" w:cs="Times New Roman"/>
          <w:b/>
          <w:bCs/>
        </w:rPr>
      </w:pPr>
      <w:r>
        <w:rPr>
          <w:rFonts w:ascii="Times New Roman" w:hAnsi="Times New Roman" w:cs="Times New Roman"/>
          <w:b/>
          <w:bCs/>
        </w:rPr>
        <w:t>C</w:t>
      </w:r>
      <w:r w:rsidR="008553D9" w:rsidRPr="007C477E">
        <w:rPr>
          <w:rFonts w:ascii="Times New Roman" w:hAnsi="Times New Roman" w:cs="Times New Roman"/>
          <w:b/>
          <w:bCs/>
        </w:rPr>
        <w:t>.3. Computational Environment</w:t>
      </w:r>
    </w:p>
    <w:p w14:paraId="0457C5B4" w14:textId="2DD4990B" w:rsidR="008553D9" w:rsidRPr="007C477E" w:rsidRDefault="008553D9" w:rsidP="007C477E">
      <w:pPr>
        <w:jc w:val="both"/>
        <w:rPr>
          <w:rFonts w:ascii="Times New Roman" w:eastAsia="Times New Roman" w:hAnsi="Times New Roman" w:cs="Times New Roman"/>
          <w:kern w:val="0"/>
          <w:lang w:val="en-US" w:eastAsia="en-GB"/>
          <w14:ligatures w14:val="none"/>
        </w:rPr>
      </w:pPr>
      <w:r w:rsidRPr="007C477E">
        <w:rPr>
          <w:rFonts w:ascii="Times New Roman" w:eastAsia="Times New Roman" w:hAnsi="Times New Roman" w:cs="Times New Roman"/>
          <w:kern w:val="0"/>
          <w:lang w:val="en-US" w:eastAsia="en-GB"/>
          <w14:ligatures w14:val="none"/>
        </w:rPr>
        <w:t xml:space="preserve">All metaheuristic algorithms, including the baseline NSGA-II and the proposed M-NSGA-II, were implemented in Python 3.12. The exact MILP models were solved using the </w:t>
      </w:r>
      <w:proofErr w:type="spellStart"/>
      <w:r w:rsidRPr="007C477E">
        <w:rPr>
          <w:rFonts w:ascii="Times New Roman" w:eastAsia="Times New Roman" w:hAnsi="Times New Roman" w:cs="Times New Roman"/>
          <w:kern w:val="0"/>
          <w:lang w:val="en-US" w:eastAsia="en-GB"/>
          <w14:ligatures w14:val="none"/>
        </w:rPr>
        <w:t>Gurobi</w:t>
      </w:r>
      <w:proofErr w:type="spellEnd"/>
      <w:r w:rsidRPr="007C477E">
        <w:rPr>
          <w:rFonts w:ascii="Times New Roman" w:eastAsia="Times New Roman" w:hAnsi="Times New Roman" w:cs="Times New Roman"/>
          <w:kern w:val="0"/>
          <w:lang w:val="en-US" w:eastAsia="en-GB"/>
          <w14:ligatures w14:val="none"/>
        </w:rPr>
        <w:t xml:space="preserve"> Optimizer. All computational experiments and ablation studies were executed on a Lenovo ThinkPad T16 Gen 4 workstation equipped with an Intel Core Ultra 7 processor and 32 GB of RAM.</w:t>
      </w:r>
    </w:p>
    <w:p w14:paraId="2E01DE7D" w14:textId="77777777" w:rsidR="00944322" w:rsidRDefault="00944322"/>
    <w:sectPr w:rsidR="009443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54A"/>
    <w:rsid w:val="003D6449"/>
    <w:rsid w:val="00455909"/>
    <w:rsid w:val="007C477E"/>
    <w:rsid w:val="008553D9"/>
    <w:rsid w:val="00882900"/>
    <w:rsid w:val="00891F8D"/>
    <w:rsid w:val="008E3DCF"/>
    <w:rsid w:val="00944322"/>
    <w:rsid w:val="009D22C9"/>
    <w:rsid w:val="00A07690"/>
    <w:rsid w:val="00C0005A"/>
    <w:rsid w:val="00C02D92"/>
    <w:rsid w:val="00C0454A"/>
    <w:rsid w:val="00CB19A2"/>
    <w:rsid w:val="00E607D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3227B"/>
  <w15:chartTrackingRefBased/>
  <w15:docId w15:val="{FF746954-2DEA-4D6A-A684-B90D8329D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5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5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5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5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5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5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5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5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54A"/>
    <w:rPr>
      <w:rFonts w:eastAsiaTheme="majorEastAsia" w:cstheme="majorBidi"/>
      <w:color w:val="272727" w:themeColor="text1" w:themeTint="D8"/>
    </w:rPr>
  </w:style>
  <w:style w:type="paragraph" w:styleId="Title">
    <w:name w:val="Title"/>
    <w:basedOn w:val="Normal"/>
    <w:next w:val="Normal"/>
    <w:link w:val="TitleChar"/>
    <w:uiPriority w:val="10"/>
    <w:qFormat/>
    <w:rsid w:val="00C04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54A"/>
    <w:pPr>
      <w:spacing w:before="160"/>
      <w:jc w:val="center"/>
    </w:pPr>
    <w:rPr>
      <w:i/>
      <w:iCs/>
      <w:color w:val="404040" w:themeColor="text1" w:themeTint="BF"/>
    </w:rPr>
  </w:style>
  <w:style w:type="character" w:customStyle="1" w:styleId="QuoteChar">
    <w:name w:val="Quote Char"/>
    <w:basedOn w:val="DefaultParagraphFont"/>
    <w:link w:val="Quote"/>
    <w:uiPriority w:val="29"/>
    <w:rsid w:val="00C0454A"/>
    <w:rPr>
      <w:i/>
      <w:iCs/>
      <w:color w:val="404040" w:themeColor="text1" w:themeTint="BF"/>
    </w:rPr>
  </w:style>
  <w:style w:type="paragraph" w:styleId="ListParagraph">
    <w:name w:val="List Paragraph"/>
    <w:basedOn w:val="Normal"/>
    <w:uiPriority w:val="34"/>
    <w:qFormat/>
    <w:rsid w:val="00C0454A"/>
    <w:pPr>
      <w:ind w:left="720"/>
      <w:contextualSpacing/>
    </w:pPr>
  </w:style>
  <w:style w:type="character" w:styleId="IntenseEmphasis">
    <w:name w:val="Intense Emphasis"/>
    <w:basedOn w:val="DefaultParagraphFont"/>
    <w:uiPriority w:val="21"/>
    <w:qFormat/>
    <w:rsid w:val="00C0454A"/>
    <w:rPr>
      <w:i/>
      <w:iCs/>
      <w:color w:val="0F4761" w:themeColor="accent1" w:themeShade="BF"/>
    </w:rPr>
  </w:style>
  <w:style w:type="paragraph" w:styleId="IntenseQuote">
    <w:name w:val="Intense Quote"/>
    <w:basedOn w:val="Normal"/>
    <w:next w:val="Normal"/>
    <w:link w:val="IntenseQuoteChar"/>
    <w:uiPriority w:val="30"/>
    <w:qFormat/>
    <w:rsid w:val="00C04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54A"/>
    <w:rPr>
      <w:i/>
      <w:iCs/>
      <w:color w:val="0F4761" w:themeColor="accent1" w:themeShade="BF"/>
    </w:rPr>
  </w:style>
  <w:style w:type="character" w:styleId="IntenseReference">
    <w:name w:val="Intense Reference"/>
    <w:basedOn w:val="DefaultParagraphFont"/>
    <w:uiPriority w:val="32"/>
    <w:qFormat/>
    <w:rsid w:val="00C0454A"/>
    <w:rPr>
      <w:b/>
      <w:bCs/>
      <w:smallCaps/>
      <w:color w:val="0F4761" w:themeColor="accent1" w:themeShade="BF"/>
      <w:spacing w:val="5"/>
    </w:rPr>
  </w:style>
  <w:style w:type="table" w:styleId="TableGrid">
    <w:name w:val="Table Grid"/>
    <w:basedOn w:val="TableNormal"/>
    <w:uiPriority w:val="39"/>
    <w:rsid w:val="008553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425</Words>
  <Characters>2427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Akdemir</dc:creator>
  <cp:keywords/>
  <dc:description/>
  <cp:lastModifiedBy>Mustafa Akdemir</cp:lastModifiedBy>
  <cp:revision>6</cp:revision>
  <dcterms:created xsi:type="dcterms:W3CDTF">2026-08-13T10:52:00Z</dcterms:created>
  <dcterms:modified xsi:type="dcterms:W3CDTF">2026-08-14T08:08:00Z</dcterms:modified>
</cp:coreProperties>
</file>