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7E7EB" w14:textId="2AD2AE6B" w:rsidR="008553D9" w:rsidRPr="007C477E" w:rsidRDefault="008553D9" w:rsidP="008553D9">
      <w:pPr>
        <w:rPr>
          <w:rFonts w:ascii="Times New Roman" w:hAnsi="Times New Roman" w:cs="Times New Roman"/>
          <w:b/>
          <w:bCs/>
        </w:rPr>
      </w:pPr>
      <w:r>
        <w:rPr>
          <w:rFonts w:ascii="Times New Roman" w:hAnsi="Times New Roman" w:cs="Times New Roman"/>
          <w:b/>
          <w:bCs/>
        </w:rPr>
        <w:t xml:space="preserve">Appendix C: Implementation Details and Algorithmic Parameters</w:t>
      </w:r>
    </w:p>
    <w:p w14:paraId="59A8F5C4" w14:textId="17DAB81A" w:rsidR="008553D9" w:rsidRPr="007C477E" w:rsidRDefault="008553D9" w:rsidP="007C477E">
      <w:pPr>
        <w:jc w:val="both"/>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To ensure full transparency and reproducibility of the computational experiments, this appendix details the hyper-parameters, constraint handling mechanisms, and the computational environment utilized for the proposed M-NSGA-II framework.</w:t>
      </w:r>
    </w:p>
    <w:p w14:paraId="41E94069" w14:textId="35C02195" w:rsidR="008553D9" w:rsidRPr="007C477E" w:rsidRDefault="00455909" w:rsidP="008553D9">
      <w:pPr>
        <w:rPr>
          <w:rFonts w:ascii="Times New Roman" w:hAnsi="Times New Roman" w:cs="Times New Roman"/>
          <w:b/>
          <w:bCs/>
        </w:rPr>
      </w:pPr>
      <w:r>
        <w:rPr>
          <w:rFonts w:ascii="Times New Roman" w:hAnsi="Times New Roman" w:cs="Times New Roman"/>
          <w:b/>
          <w:bCs/>
        </w:rPr>
        <w:t>C.1. Parameter Settings</w:t>
      </w:r>
    </w:p>
    <w:p w14:paraId="2C58DEAD" w14:textId="173B9F70" w:rsidR="008553D9" w:rsidRDefault="008553D9" w:rsidP="007C477E">
      <w:pPr>
        <w:jc w:val="both"/>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 xml:space="preserve">The core hyper-parameters of the M-NSGA-II are summarized in Table C1. </w:t>
      </w:r>
      <w:r>
        <w:rPr>
          <w:rFonts w:ascii="Times New Roman" w:eastAsia="Times New Roman" w:hAnsi="Times New Roman" w:cs="Times New Roman"/>
          <w:color w:val="FF0000"/>
          <w:kern w:val="0"/>
          <w:lang w:val="en-US" w:eastAsia="en-GB"/>
          <w14:ligatures w14:val="none"/>
        </w:rPr>
        <w:t xml:space="preserve">The crossover and mutation probabilities were set to the values commonly adopted for NSGA-II (Deb et al., 2002), verified through preliminary testing, and kept consistent</w:t>
      </w:r>
      <w:r>
        <w:rPr>
          <w:rFonts w:ascii="Times New Roman" w:eastAsia="Times New Roman" w:hAnsi="Times New Roman" w:cs="Times New Roman"/>
          <w:kern w:val="0"/>
          <w:lang w:val="en-US" w:eastAsia="en-GB"/>
          <w14:ligatures w14:val="none"/>
        </w:rPr>
        <w:t xml:space="preserve"> across all benchmark instances to evaluate the algorithm's generalized robustness without overfitting to specific problem sizes.</w:t>
      </w:r>
    </w:p>
    <w:p w14:paraId="79F29B5A" w14:textId="6D3241FD" w:rsidR="00D54D68" w:rsidRPr="00D54D68" w:rsidRDefault="00D54D68" w:rsidP="00D54D68">
      <w:pPr>
        <w:ind w:firstLine="284"/>
        <w:jc w:val="both"/>
        <w:rPr>
          <w:rFonts w:ascii="Times New Roman" w:eastAsia="Times New Roman" w:hAnsi="Times New Roman" w:cs="Times New Roman"/>
          <w:color w:val="FF0000"/>
          <w:kern w:val="0"/>
          <w:lang w:eastAsia="en-GB"/>
          <w14:ligatures w14:val="none"/>
        </w:rPr>
      </w:pPr>
      <w:r>
        <w:rPr>
          <w:rFonts w:ascii="Times New Roman" w:eastAsia="Times New Roman" w:hAnsi="Times New Roman" w:cs="Times New Roman"/>
          <w:color w:val="FF0000"/>
          <w:kern w:val="0"/>
          <w:lang w:eastAsia="en-GB"/>
          <w14:ligatures w14:val="none"/>
        </w:rPr>
        <w:t>When |</w:t>
      </w:r>
      <m:oMath>
        <m:r>
          <w:rPr>
            <w:rFonts w:ascii="Cambria Math" w:eastAsia="Times New Roman" w:hAnsi="Cambria Math" w:cs="Times New Roman"/>
            <w:color w:val="FF0000"/>
            <w:kern w:val="0"/>
            <w:lang w:eastAsia="en-GB"/>
            <w14:ligatures w14:val="none"/>
          </w:rPr>
          <m:t>I</m:t>
        </m:r>
      </m:oMath>
      <w:r>
        <w:rPr>
          <w:rFonts w:ascii="Times New Roman" w:eastAsia="Times New Roman" w:hAnsi="Times New Roman" w:cs="Times New Roman"/>
          <w:color w:val="FF0000"/>
          <w:kern w:val="0"/>
          <w:lang w:eastAsia="en-GB"/>
          <w14:ligatures w14:val="none"/>
        </w:rPr>
        <w:t xml:space="preserve">| is less than 20, 20% of the population is </w:t>
      </w:r>
      <w:r>
        <w:rPr>
          <w:rFonts w:ascii="Times New Roman" w:eastAsia="Times New Roman" w:hAnsi="Times New Roman" w:cs="Times New Roman"/>
          <w:color w:val="FF0000"/>
          <w:kern w:val="0"/>
          <w:lang w:eastAsia="en-GB"/>
          <w14:ligatures w14:val="none"/>
        </w:rPr>
        <w:t xml:space="preserve">generated using the constructive heuristics</w:t>
      </w:r>
      <w:r>
        <w:rPr>
          <w:rFonts w:ascii="Times New Roman" w:eastAsia="Times New Roman" w:hAnsi="Times New Roman" w:cs="Times New Roman"/>
          <w:color w:val="FF0000"/>
          <w:kern w:val="0"/>
          <w:lang w:eastAsia="en-GB"/>
          <w14:ligatures w14:val="none"/>
        </w:rPr>
        <w:t xml:space="preserve">. When |</w:t>
      </w:r>
      <m:oMath>
        <m:r>
          <w:rPr>
            <w:rFonts w:ascii="Cambria Math" w:eastAsia="Times New Roman" w:hAnsi="Cambria Math" w:cs="Times New Roman"/>
            <w:color w:val="FF0000"/>
            <w:kern w:val="0"/>
            <w:lang w:eastAsia="en-GB"/>
            <w14:ligatures w14:val="none"/>
          </w:rPr>
          <m:t>I</m:t>
        </m:r>
      </m:oMath>
      <w:r>
        <w:rPr>
          <w:rFonts w:ascii="Times New Roman" w:eastAsia="Times New Roman" w:hAnsi="Times New Roman" w:cs="Times New Roman"/>
          <w:color w:val="FF0000"/>
          <w:kern w:val="0"/>
          <w:lang w:eastAsia="en-GB"/>
          <w14:ligatures w14:val="none"/>
        </w:rPr>
        <w:t xml:space="preserve">| is 20 or higher, this percentage increases to 35%. These values were selected based on pilot tests with small and medium-sized instances. As the number of parts increases, fewer randomly generated chromosomes are feasible. Therefore, increasing the </w:t>
      </w:r>
      <w:r>
        <w:rPr>
          <w:rFonts w:ascii="Times New Roman" w:eastAsia="Times New Roman" w:hAnsi="Times New Roman" w:cs="Times New Roman"/>
          <w:color w:val="FF0000"/>
          <w:kern w:val="0"/>
          <w:lang w:eastAsia="en-GB"/>
          <w14:ligatures w14:val="none"/>
        </w:rPr>
        <w:t xml:space="preserve">proportion of heuristic-generated chromosomes</w:t>
      </w:r>
      <w:r>
        <w:rPr>
          <w:rFonts w:ascii="Times New Roman" w:eastAsia="Times New Roman" w:hAnsi="Times New Roman" w:cs="Times New Roman"/>
          <w:color w:val="FF0000"/>
          <w:kern w:val="0"/>
          <w:lang w:eastAsia="en-GB"/>
          <w14:ligatures w14:val="none"/>
        </w:rPr>
        <w:t xml:space="preserve"> helps improve the feasibility of the initial population while maintaining diversity, </w:t>
      </w:r>
      <w:r>
        <w:rPr>
          <w:rFonts w:ascii="Times New Roman" w:eastAsia="Times New Roman" w:hAnsi="Times New Roman" w:cs="Times New Roman"/>
          <w:color w:val="FF0000"/>
          <w:kern w:val="0"/>
          <w:lang w:eastAsia="en-GB"/>
          <w14:ligatures w14:val="none"/>
        </w:rPr>
        <w:t xml:space="preserve">since most chromosomes are still generated randomly</w:t>
      </w:r>
      <w:r>
        <w:rPr>
          <w:rFonts w:ascii="Times New Roman" w:eastAsia="Times New Roman" w:hAnsi="Times New Roman" w:cs="Times New Roman"/>
          <w:color w:val="FF0000"/>
          <w:kern w:val="0"/>
          <w:lang w:eastAsia="en-GB"/>
          <w14:ligatures w14:val="none"/>
        </w:rPr>
        <w:t xml:space="preserve">. The threshold of |</w:t>
      </w:r>
      <m:oMath>
        <m:r>
          <w:rPr>
            <w:rFonts w:ascii="Cambria Math" w:eastAsia="Times New Roman" w:hAnsi="Cambria Math" w:cs="Times New Roman"/>
            <w:color w:val="FF0000"/>
            <w:kern w:val="0"/>
            <w:lang w:eastAsia="en-GB"/>
            <w14:ligatures w14:val="none"/>
          </w:rPr>
          <m:t>I</m:t>
        </m:r>
      </m:oMath>
      <w:r>
        <w:rPr>
          <w:rFonts w:ascii="Times New Roman" w:eastAsia="Times New Roman" w:hAnsi="Times New Roman" w:cs="Times New Roman"/>
          <w:color w:val="FF0000"/>
          <w:kern w:val="0"/>
          <w:lang w:eastAsia="en-GB"/>
          <w14:ligatures w14:val="none"/>
        </w:rPr>
        <w:t xml:space="preserve">| = 20 was set in the same pilot tests, and coincides with the largest instance size solved to proven optimality by the exact approach (see Section 6.2.1).</w:t>
      </w:r>
    </w:p>
    <w:p w14:paraId="6B3EC7A0" w14:textId="001173FB" w:rsidR="00D54D68" w:rsidRPr="00D54D68" w:rsidRDefault="00D54D68" w:rsidP="00D54D68">
      <w:pPr>
        <w:ind w:firstLine="284"/>
        <w:jc w:val="both"/>
        <w:rPr>
          <w:rFonts w:ascii="Times New Roman" w:eastAsia="Times New Roman" w:hAnsi="Times New Roman" w:cs="Times New Roman"/>
          <w:color w:val="FF0000"/>
          <w:kern w:val="0"/>
          <w:lang w:eastAsia="en-GB"/>
          <w14:ligatures w14:val="none"/>
        </w:rPr>
      </w:pPr>
      <w:r>
        <w:rPr>
          <w:rFonts w:ascii="Times New Roman" w:eastAsia="Times New Roman" w:hAnsi="Times New Roman" w:cs="Times New Roman"/>
          <w:color w:val="FF0000"/>
          <w:kern w:val="0"/>
          <w:lang w:eastAsia="en-GB"/>
          <w14:ligatures w14:val="none"/>
        </w:rPr>
        <w:t xml:space="preserve">Each local search operation evaluates max(1, ⌊0.05 × </w:t>
      </w:r>
      <m:oMath>
        <m:r>
          <m:rPr>
            <m:sty m:val="p"/>
          </m:rPr>
          <w:rPr>
            <w:rFonts w:ascii="Cambria Math" w:eastAsia="Times New Roman" w:hAnsi="Cambria Math" w:cs="Times New Roman"/>
            <w:color w:val="FF0000"/>
            <w:kern w:val="0"/>
            <w:lang w:eastAsia="en-GB"/>
            <w14:ligatures w14:val="none"/>
          </w:rPr>
          <m:t>|</m:t>
        </m:r>
        <m:r>
          <w:rPr>
            <w:rFonts w:ascii="Cambria Math" w:eastAsia="Times New Roman" w:hAnsi="Cambria Math" w:cs="Times New Roman"/>
            <w:color w:val="FF0000"/>
            <w:kern w:val="0"/>
            <w:lang w:eastAsia="en-GB"/>
            <w14:ligatures w14:val="none"/>
          </w:rPr>
          <m:t>I</m:t>
        </m:r>
        <m:r>
          <m:rPr>
            <m:sty m:val="p"/>
          </m:rPr>
          <w:rPr>
            <w:rFonts w:ascii="Cambria Math" w:eastAsia="Times New Roman" w:hAnsi="Cambria Math" w:cs="Times New Roman"/>
            <w:color w:val="FF0000"/>
            <w:kern w:val="0"/>
            <w:lang w:eastAsia="en-GB"/>
            <w14:ligatures w14:val="none"/>
          </w:rPr>
          <m:t xml:space="preserve">| </m:t>
        </m:r>
      </m:oMath>
      <w:r>
        <w:rPr>
          <w:rFonts w:ascii="Times New Roman" w:eastAsia="Times New Roman" w:hAnsi="Times New Roman" w:cs="Times New Roman"/>
          <w:color w:val="FF0000"/>
          <w:kern w:val="0"/>
          <w:lang w:eastAsia="en-GB"/>
          <w14:ligatures w14:val="none"/>
        </w:rPr>
        <w:t xml:space="preserve">⌋) parts, i.e., approximately 5% of the total number of parts. This choice follows common practice in lightweight memetic NSGA-II implementations (Ishibuchi et al., 2003), and was confirmed by preliminary tests, in which larger fractions provided only limited improvements in hypervolume while increasing the computational time.</w:t>
      </w:r>
    </w:p>
    <w:p w14:paraId="627D2FBF" w14:textId="0A73CDCC" w:rsidR="00D54D68" w:rsidRPr="00D54D68" w:rsidRDefault="00D54D68" w:rsidP="00D54D68">
      <w:pPr>
        <w:ind w:firstLine="284"/>
        <w:jc w:val="both"/>
        <w:rPr>
          <w:rFonts w:ascii="Times New Roman" w:eastAsia="Times New Roman" w:hAnsi="Times New Roman" w:cs="Times New Roman"/>
          <w:color w:val="FF0000"/>
          <w:kern w:val="0"/>
          <w:lang w:eastAsia="en-GB"/>
          <w14:ligatures w14:val="none"/>
        </w:rPr>
      </w:pPr>
      <w:r>
        <w:rPr>
          <w:rFonts w:ascii="Times New Roman" w:eastAsia="Times New Roman" w:hAnsi="Times New Roman" w:cs="Times New Roman"/>
          <w:color w:val="FF0000"/>
          <w:kern w:val="0"/>
          <w:lang w:eastAsia="en-GB"/>
          <w14:ligatures w14:val="none"/>
        </w:rPr>
        <w:t>The crossover probability (</w:t>
      </w:r>
      <m:oMath>
        <m:sSub>
          <m:sSubPr>
            <m:ctrlPr>
              <w:rPr>
                <w:rFonts w:ascii="Cambria Math" w:eastAsia="Times New Roman" w:hAnsi="Cambria Math" w:cs="Times New Roman"/>
                <w:color w:val="FF0000"/>
                <w:kern w:val="0"/>
                <w:lang w:eastAsia="en-GB"/>
                <w14:ligatures w14:val="none"/>
              </w:rPr>
            </m:ctrlPr>
          </m:sSubPr>
          <m:e>
            <m:r>
              <w:rPr>
                <w:rFonts w:ascii="Cambria Math" w:eastAsia="Times New Roman" w:hAnsi="Cambria Math" w:cs="Times New Roman"/>
                <w:color w:val="FF0000"/>
                <w:kern w:val="0"/>
                <w:lang w:eastAsia="en-GB"/>
                <w14:ligatures w14:val="none"/>
              </w:rPr>
              <m:t>p</m:t>
            </m:r>
          </m:e>
          <m:sub>
            <m:r>
              <w:rPr>
                <w:rFonts w:ascii="Cambria Math" w:eastAsia="Times New Roman" w:hAnsi="Cambria Math" w:cs="Times New Roman"/>
                <w:color w:val="FF0000"/>
                <w:kern w:val="0"/>
                <w:lang w:eastAsia="en-GB"/>
                <w14:ligatures w14:val="none"/>
              </w:rPr>
              <m:t>c</m:t>
            </m:r>
          </m:sub>
        </m:sSub>
        <m:r>
          <w:rPr>
            <w:rFonts w:ascii="Cambria Math" w:eastAsia="Times New Roman" w:hAnsi="Cambria Math" w:cs="Times New Roman"/>
            <w:color w:val="FF0000"/>
            <w:kern w:val="0"/>
            <w:lang w:eastAsia="en-GB"/>
            <w14:ligatures w14:val="none"/>
          </w:rPr>
          <m:t>=0.9</m:t>
        </m:r>
      </m:oMath>
      <w:r>
        <w:rPr>
          <w:rFonts w:ascii="Times New Roman" w:eastAsia="Times New Roman" w:hAnsi="Times New Roman" w:cs="Times New Roman"/>
          <w:color w:val="FF0000"/>
          <w:kern w:val="0"/>
          <w:lang w:eastAsia="en-GB"/>
          <w14:ligatures w14:val="none"/>
        </w:rPr>
        <w:t xml:space="preserve">) and the mutation probability (</w:t>
      </w:r>
      <m:oMath>
        <m:sSub>
          <m:sSubPr>
            <m:ctrlPr>
              <w:rPr>
                <w:rFonts w:ascii="Cambria Math" w:eastAsia="Times New Roman" w:hAnsi="Cambria Math" w:cs="Times New Roman"/>
                <w:color w:val="FF0000"/>
                <w:kern w:val="0"/>
                <w:lang w:eastAsia="en-GB"/>
                <w14:ligatures w14:val="none"/>
              </w:rPr>
            </m:ctrlPr>
          </m:sSubPr>
          <m:e>
            <m:r>
              <w:rPr>
                <w:rFonts w:ascii="Cambria Math" w:eastAsia="Times New Roman" w:hAnsi="Cambria Math" w:cs="Times New Roman"/>
                <w:color w:val="FF0000"/>
                <w:kern w:val="0"/>
                <w:lang w:eastAsia="en-GB"/>
                <w14:ligatures w14:val="none"/>
              </w:rPr>
              <m:t>p</m:t>
            </m:r>
          </m:e>
          <m:sub>
            <m:r>
              <w:rPr>
                <w:rFonts w:ascii="Cambria Math" w:eastAsia="Times New Roman" w:hAnsi="Cambria Math" w:cs="Times New Roman"/>
                <w:color w:val="FF0000"/>
                <w:kern w:val="0"/>
                <w:lang w:eastAsia="en-GB"/>
                <w14:ligatures w14:val="none"/>
              </w:rPr>
              <m:t>m</m:t>
            </m:r>
          </m:sub>
        </m:sSub>
        <m:r>
          <w:rPr>
            <w:rFonts w:ascii="Cambria Math" w:eastAsia="Times New Roman" w:hAnsi="Cambria Math" w:cs="Times New Roman"/>
            <w:color w:val="FF0000"/>
            <w:kern w:val="0"/>
            <w:lang w:eastAsia="en-GB"/>
            <w14:ligatures w14:val="none"/>
          </w:rPr>
          <m:t>=1/|I|</m:t>
        </m:r>
      </m:oMath>
      <w:r>
        <w:rPr>
          <w:rFonts w:ascii="Times New Roman" w:eastAsia="Times New Roman" w:hAnsi="Times New Roman" w:cs="Times New Roman"/>
          <w:color w:val="FF0000"/>
          <w:kern w:val="0"/>
          <w:lang w:eastAsia="en-GB"/>
          <w14:ligatures w14:val="none"/>
        </w:rPr>
        <w:t xml:space="preserve">) are the values commonly adopted for NSGA-II (Deb et al., 2002), with the mutation probability set to the reciprocal of the number of parts; they were also checked in preliminary tests on the 16-part instance used in the ablation study.</w:t>
      </w:r>
    </w:p>
    <w:p w14:paraId="779D9E81" w14:textId="7D4772FD" w:rsidR="00D54D68" w:rsidRPr="00D54D68" w:rsidRDefault="00D54D68" w:rsidP="00D54D68">
      <w:pPr>
        <w:ind w:firstLine="284"/>
        <w:jc w:val="both"/>
        <w:rPr>
          <w:rFonts w:ascii="Times New Roman" w:eastAsia="Times New Roman" w:hAnsi="Times New Roman" w:cs="Times New Roman"/>
          <w:color w:val="FF0000"/>
          <w:kern w:val="0"/>
          <w:lang w:val="en-US" w:eastAsia="en-GB"/>
          <w14:ligatures w14:val="none"/>
        </w:rPr>
      </w:pPr>
      <w:r>
        <w:rPr>
          <w:rFonts w:ascii="Times New Roman" w:eastAsia="Times New Roman" w:hAnsi="Times New Roman" w:cs="Times New Roman"/>
          <w:color w:val="FF0000"/>
          <w:kern w:val="0"/>
          <w:lang w:eastAsia="en-GB"/>
          <w14:ligatures w14:val="none"/>
        </w:rPr>
        <w:t>The local search probability (</w:t>
      </w:r>
      <m:oMath>
        <m:sSub>
          <m:sSubPr>
            <m:ctrlPr>
              <w:rPr>
                <w:rFonts w:ascii="Cambria Math" w:eastAsia="Times New Roman" w:hAnsi="Cambria Math" w:cs="Times New Roman"/>
                <w:color w:val="FF0000"/>
                <w:kern w:val="0"/>
                <w:lang w:eastAsia="en-GB"/>
                <w14:ligatures w14:val="none"/>
              </w:rPr>
            </m:ctrlPr>
          </m:sSubPr>
          <m:e>
            <m:r>
              <w:rPr>
                <w:rFonts w:ascii="Cambria Math" w:eastAsia="Times New Roman" w:hAnsi="Cambria Math" w:cs="Times New Roman"/>
                <w:color w:val="FF0000"/>
                <w:kern w:val="0"/>
                <w:lang w:eastAsia="en-GB"/>
                <w14:ligatures w14:val="none"/>
              </w:rPr>
              <m:t>p</m:t>
            </m:r>
          </m:e>
          <m:sub>
            <m:r>
              <w:rPr>
                <w:rFonts w:ascii="Cambria Math" w:eastAsia="Times New Roman" w:hAnsi="Cambria Math" w:cs="Times New Roman"/>
                <w:color w:val="FF0000"/>
                <w:kern w:val="0"/>
                <w:lang w:eastAsia="en-GB"/>
                <w14:ligatures w14:val="none"/>
              </w:rPr>
              <m:t>ls</m:t>
            </m:r>
          </m:sub>
        </m:sSub>
        <m:r>
          <w:rPr>
            <w:rFonts w:ascii="Cambria Math" w:eastAsia="Times New Roman" w:hAnsi="Cambria Math" w:cs="Times New Roman"/>
            <w:color w:val="FF0000"/>
            <w:kern w:val="0"/>
            <w:lang w:eastAsia="en-GB"/>
            <w14:ligatures w14:val="none"/>
          </w:rPr>
          <m:t>=0.10</m:t>
        </m:r>
      </m:oMath>
      <w:r>
        <w:rPr>
          <w:rFonts w:ascii="Times New Roman" w:eastAsia="Times New Roman" w:hAnsi="Times New Roman" w:cs="Times New Roman"/>
          <w:color w:val="FF0000"/>
          <w:kern w:val="0"/>
          <w:lang w:eastAsia="en-GB"/>
          <w14:ligatures w14:val="none"/>
        </w:rPr>
        <w:t>) for each offspring and the smart-operator probability (</w:t>
      </w:r>
      <m:oMath>
        <m:sSub>
          <m:sSubPr>
            <m:ctrlPr>
              <w:rPr>
                <w:rFonts w:ascii="Cambria Math" w:eastAsia="Times New Roman" w:hAnsi="Cambria Math" w:cs="Times New Roman"/>
                <w:color w:val="FF0000"/>
                <w:kern w:val="0"/>
                <w:lang w:eastAsia="en-GB"/>
                <w14:ligatures w14:val="none"/>
              </w:rPr>
            </m:ctrlPr>
          </m:sSubPr>
          <m:e>
            <m:r>
              <w:rPr>
                <w:rFonts w:ascii="Cambria Math" w:eastAsia="Times New Roman" w:hAnsi="Cambria Math" w:cs="Times New Roman"/>
                <w:color w:val="FF0000"/>
                <w:kern w:val="0"/>
                <w:lang w:eastAsia="en-GB"/>
                <w14:ligatures w14:val="none"/>
              </w:rPr>
              <m:t>p</m:t>
            </m:r>
          </m:e>
          <m:sub>
            <m:r>
              <w:rPr>
                <w:rFonts w:ascii="Cambria Math" w:eastAsia="Times New Roman" w:hAnsi="Cambria Math" w:cs="Times New Roman"/>
                <w:color w:val="FF0000"/>
                <w:kern w:val="0"/>
                <w:lang w:eastAsia="en-GB"/>
                <w14:ligatures w14:val="none"/>
              </w:rPr>
              <m:t>smart</m:t>
            </m:r>
          </m:sub>
        </m:sSub>
        <m:r>
          <w:rPr>
            <w:rFonts w:ascii="Cambria Math" w:eastAsia="Times New Roman" w:hAnsi="Cambria Math" w:cs="Times New Roman"/>
            <w:color w:val="FF0000"/>
            <w:kern w:val="0"/>
            <w:lang w:eastAsia="en-GB"/>
            <w14:ligatures w14:val="none"/>
          </w:rPr>
          <m:t>=0.22</m:t>
        </m:r>
      </m:oMath>
      <w:r>
        <w:rPr>
          <w:rFonts w:ascii="Times New Roman" w:eastAsia="Times New Roman" w:hAnsi="Times New Roman" w:cs="Times New Roman"/>
          <w:color w:val="FF0000"/>
          <w:kern w:val="0"/>
          <w:lang w:eastAsia="en-GB"/>
          <w14:ligatures w14:val="none"/>
        </w:rPr>
        <w:t>) were selected during the same pilot testing phase. These values were not adjusted for different instance sizes. The only exception was the dynamic scaling of the population size and number of generations, which is explained below.</w:t>
      </w:r>
    </w:p>
    <w:p w14:paraId="48D0FED8" w14:textId="77777777" w:rsidR="00D54D68" w:rsidRPr="007C477E" w:rsidRDefault="00D54D68" w:rsidP="007C477E">
      <w:pPr>
        <w:jc w:val="both"/>
        <w:rPr>
          <w:rFonts w:ascii="Times New Roman" w:eastAsia="Times New Roman" w:hAnsi="Times New Roman" w:cs="Times New Roman"/>
          <w:kern w:val="0"/>
          <w:lang w:val="en-US" w:eastAsia="en-GB"/>
          <w14:ligatures w14:val="none"/>
        </w:rPr>
      </w:pPr>
    </w:p>
    <w:p w14:paraId="68636737" w14:textId="571E28F6" w:rsidR="008553D9" w:rsidRPr="00455909" w:rsidRDefault="008553D9" w:rsidP="00455909">
      <w:pPr>
        <w:jc w:val="center"/>
        <w:rPr>
          <w:rFonts w:ascii="Times New Roman" w:hAnsi="Times New Roman" w:cs="Times New Roman"/>
          <w:sz w:val="22"/>
          <w:szCs w:val="22"/>
        </w:rPr>
      </w:pPr>
      <w:r>
        <w:rPr>
          <w:rFonts w:ascii="Times New Roman" w:hAnsi="Times New Roman" w:cs="Times New Roman"/>
          <w:b/>
          <w:bCs/>
          <w:sz w:val="22"/>
          <w:szCs w:val="22"/>
        </w:rPr>
        <w:t xml:space="preserve">Table C1:</w:t>
      </w:r>
      <w:r>
        <w:rPr>
          <w:rFonts w:ascii="Times New Roman" w:hAnsi="Times New Roman" w:cs="Times New Roman"/>
          <w:sz w:val="22"/>
          <w:szCs w:val="22"/>
        </w:rPr>
        <w:t xml:space="preserve"> Parameter Settings for the Proposed M-NSGA-II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8553D9" w:rsidRPr="00455909" w14:paraId="73532235" w14:textId="77777777" w:rsidTr="008553D9">
        <w:tc>
          <w:tcPr>
            <w:tcW w:w="3020" w:type="dxa"/>
            <w:tcBorders>
              <w:top w:val="single" w:sz="4" w:space="0" w:color="auto"/>
              <w:bottom w:val="single" w:sz="4" w:space="0" w:color="auto"/>
            </w:tcBorders>
            <w:vAlign w:val="center"/>
          </w:tcPr>
          <w:p w14:paraId="57516576" w14:textId="7AA03617" w:rsidR="008553D9" w:rsidRPr="00455909" w:rsidRDefault="008553D9" w:rsidP="008553D9">
            <w:pPr>
              <w:rPr>
                <w:rFonts w:ascii="Times New Roman" w:hAnsi="Times New Roman" w:cs="Times New Roman"/>
                <w:sz w:val="22"/>
                <w:szCs w:val="22"/>
              </w:rPr>
            </w:pPr>
            <w:r>
              <w:rPr>
                <w:rFonts w:ascii="Times New Roman" w:hAnsi="Times New Roman" w:cs="Times New Roman"/>
                <w:b/>
                <w:bCs/>
                <w:sz w:val="22"/>
                <w:szCs w:val="22"/>
              </w:rPr>
              <w:t>Parameter</w:t>
            </w:r>
          </w:p>
        </w:tc>
        <w:tc>
          <w:tcPr>
            <w:tcW w:w="3021" w:type="dxa"/>
            <w:tcBorders>
              <w:top w:val="single" w:sz="4" w:space="0" w:color="auto"/>
              <w:bottom w:val="single" w:sz="4" w:space="0" w:color="auto"/>
            </w:tcBorders>
            <w:vAlign w:val="center"/>
          </w:tcPr>
          <w:p w14:paraId="68AE3E59" w14:textId="6F4811AE" w:rsidR="008553D9" w:rsidRPr="00455909" w:rsidRDefault="008553D9" w:rsidP="008553D9">
            <w:pPr>
              <w:rPr>
                <w:rFonts w:ascii="Times New Roman" w:hAnsi="Times New Roman" w:cs="Times New Roman"/>
                <w:sz w:val="22"/>
                <w:szCs w:val="22"/>
              </w:rPr>
            </w:pPr>
            <w:r>
              <w:rPr>
                <w:rFonts w:ascii="Times New Roman" w:hAnsi="Times New Roman" w:cs="Times New Roman"/>
                <w:b/>
                <w:bCs/>
                <w:sz w:val="22"/>
                <w:szCs w:val="22"/>
              </w:rPr>
              <w:t>Description</w:t>
            </w:r>
          </w:p>
        </w:tc>
        <w:tc>
          <w:tcPr>
            <w:tcW w:w="3021" w:type="dxa"/>
            <w:tcBorders>
              <w:top w:val="single" w:sz="4" w:space="0" w:color="auto"/>
              <w:bottom w:val="single" w:sz="4" w:space="0" w:color="auto"/>
            </w:tcBorders>
            <w:vAlign w:val="center"/>
          </w:tcPr>
          <w:p w14:paraId="7F9ADE67" w14:textId="3ADB2DD5" w:rsidR="008553D9" w:rsidRPr="00455909" w:rsidRDefault="008553D9" w:rsidP="008553D9">
            <w:pPr>
              <w:rPr>
                <w:rFonts w:ascii="Times New Roman" w:hAnsi="Times New Roman" w:cs="Times New Roman"/>
                <w:sz w:val="22"/>
                <w:szCs w:val="22"/>
              </w:rPr>
            </w:pPr>
            <w:r>
              <w:rPr>
                <w:rFonts w:ascii="Times New Roman" w:hAnsi="Times New Roman" w:cs="Times New Roman"/>
                <w:b/>
                <w:bCs/>
                <w:sz w:val="22"/>
                <w:szCs w:val="22"/>
              </w:rPr>
              <w:t>Value / Setting</w:t>
            </w:r>
          </w:p>
        </w:tc>
      </w:tr>
      <w:tr w:rsidR="008553D9" w:rsidRPr="00455909" w14:paraId="6B5BFE97" w14:textId="77777777" w:rsidTr="008553D9">
        <w:tc>
          <w:tcPr>
            <w:tcW w:w="3020" w:type="dxa"/>
            <w:tcBorders>
              <w:top w:val="single" w:sz="4" w:space="0" w:color="auto"/>
            </w:tcBorders>
            <w:vAlign w:val="center"/>
          </w:tcPr>
          <w:p w14:paraId="575430C8" w14:textId="79C72CD3" w:rsidR="008553D9" w:rsidRPr="00455909" w:rsidRDefault="008553D9" w:rsidP="008553D9">
            <w:pPr>
              <w:rPr>
                <w:rFonts w:ascii="Times New Roman" w:hAnsi="Times New Roman" w:cs="Times New Roman"/>
                <w:sz w:val="22"/>
                <w:szCs w:val="22"/>
              </w:rPr>
            </w:pPr>
            <m:oMathPara>
              <m:oMath>
                <m:r>
                  <w:rPr>
                    <w:rFonts w:ascii="Cambria Math" w:hAnsi="Cambria Math" w:cs="Times New Roman"/>
                    <w:sz w:val="22"/>
                    <w:szCs w:val="22"/>
                  </w:rPr>
                  <m:t>N</m:t>
                </m:r>
              </m:oMath>
            </m:oMathPara>
          </w:p>
        </w:tc>
        <w:tc>
          <w:tcPr>
            <w:tcW w:w="3021" w:type="dxa"/>
            <w:tcBorders>
              <w:top w:val="single" w:sz="4" w:space="0" w:color="auto"/>
            </w:tcBorders>
            <w:vAlign w:val="center"/>
          </w:tcPr>
          <w:p w14:paraId="53E0474A" w14:textId="05A7F56F" w:rsidR="008553D9" w:rsidRPr="00455909" w:rsidRDefault="008553D9" w:rsidP="008553D9">
            <w:pPr>
              <w:rPr>
                <w:rFonts w:ascii="Times New Roman" w:hAnsi="Times New Roman" w:cs="Times New Roman"/>
                <w:sz w:val="22"/>
                <w:szCs w:val="22"/>
              </w:rPr>
            </w:pPr>
            <w:r>
              <w:rPr>
                <w:rFonts w:ascii="Times New Roman" w:hAnsi="Times New Roman" w:cs="Times New Roman"/>
                <w:sz w:val="22"/>
                <w:szCs w:val="22"/>
              </w:rPr>
              <w:t>Population size</w:t>
            </w:r>
          </w:p>
        </w:tc>
        <w:tc>
          <w:tcPr>
            <w:tcW w:w="3021" w:type="dxa"/>
            <w:tcBorders>
              <w:top w:val="single" w:sz="4" w:space="0" w:color="auto"/>
            </w:tcBorders>
            <w:vAlign w:val="center"/>
          </w:tcPr>
          <w:p w14:paraId="5E1BCB88" w14:textId="1816257A" w:rsidR="008553D9" w:rsidRPr="00455909" w:rsidRDefault="008553D9" w:rsidP="008553D9">
            <w:pPr>
              <w:rPr>
                <w:rFonts w:ascii="Times New Roman" w:hAnsi="Times New Roman" w:cs="Times New Roman"/>
                <w:sz w:val="22"/>
                <w:szCs w:val="22"/>
              </w:rPr>
            </w:pPr>
            <m:oMathPara>
              <m:oMath>
                <m:r>
                  <w:rPr>
                    <w:rFonts w:ascii="Cambria Math" w:hAnsi="Cambria Math" w:cs="Times New Roman"/>
                    <w:sz w:val="22"/>
                    <w:szCs w:val="22"/>
                  </w:rPr>
                  <m:t>100</m:t>
                </m:r>
              </m:oMath>
            </m:oMathPara>
          </w:p>
        </w:tc>
      </w:tr>
      <w:tr w:rsidR="008553D9" w:rsidRPr="00455909" w14:paraId="17EBC0B0" w14:textId="77777777" w:rsidTr="008553D9">
        <w:tc>
          <w:tcPr>
            <w:tcW w:w="3020" w:type="dxa"/>
            <w:vAlign w:val="center"/>
          </w:tcPr>
          <w:p w14:paraId="4342CD0F" w14:textId="50330C38" w:rsidR="008553D9" w:rsidRPr="00455909" w:rsidRDefault="008553D9" w:rsidP="008553D9">
            <w:pPr>
              <w:rPr>
                <w:rFonts w:ascii="Times New Roman" w:hAnsi="Times New Roman" w:cs="Times New Roman"/>
                <w:sz w:val="22"/>
                <w:szCs w:val="22"/>
              </w:rPr>
            </w:pPr>
            <m:oMathPara>
              <m:oMath>
                <m:r>
                  <w:rPr>
                    <w:rFonts w:ascii="Cambria Math" w:hAnsi="Cambria Math" w:cs="Times New Roman"/>
                    <w:sz w:val="22"/>
                    <w:szCs w:val="22"/>
                  </w:rPr>
                  <m:t>Ge</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max</m:t>
                    </m:r>
                  </m:sub>
                </m:sSub>
              </m:oMath>
            </m:oMathPara>
          </w:p>
        </w:tc>
        <w:tc>
          <w:tcPr>
            <w:tcW w:w="3021" w:type="dxa"/>
            <w:vAlign w:val="center"/>
          </w:tcPr>
          <w:p w14:paraId="74C188FF" w14:textId="1180B6AF" w:rsidR="008553D9" w:rsidRPr="00455909" w:rsidRDefault="008553D9" w:rsidP="008553D9">
            <w:pPr>
              <w:rPr>
                <w:rFonts w:ascii="Times New Roman" w:hAnsi="Times New Roman" w:cs="Times New Roman"/>
                <w:sz w:val="22"/>
                <w:szCs w:val="22"/>
              </w:rPr>
            </w:pPr>
            <w:r>
              <w:rPr>
                <w:rFonts w:ascii="Times New Roman" w:hAnsi="Times New Roman" w:cs="Times New Roman"/>
                <w:sz w:val="22"/>
                <w:szCs w:val="22"/>
              </w:rPr>
              <w:t>Maximum generations (Stopping criteria)</w:t>
            </w:r>
          </w:p>
        </w:tc>
        <w:tc>
          <w:tcPr>
            <w:tcW w:w="3021" w:type="dxa"/>
            <w:vAlign w:val="center"/>
          </w:tcPr>
          <w:p w14:paraId="3FB18297" w14:textId="38AD03AE" w:rsidR="008553D9" w:rsidRPr="00455909" w:rsidRDefault="008553D9" w:rsidP="008553D9">
            <w:pPr>
              <w:rPr>
                <w:rFonts w:ascii="Times New Roman" w:hAnsi="Times New Roman" w:cs="Times New Roman"/>
                <w:sz w:val="22"/>
                <w:szCs w:val="22"/>
              </w:rPr>
            </w:pPr>
            <m:oMathPara>
              <m:oMath>
                <m:r>
                  <w:rPr>
                    <w:rFonts w:ascii="Cambria Math" w:hAnsi="Cambria Math" w:cs="Times New Roman"/>
                    <w:sz w:val="22"/>
                    <w:szCs w:val="22"/>
                  </w:rPr>
                  <m:t>200</m:t>
                </m:r>
              </m:oMath>
            </m:oMathPara>
          </w:p>
        </w:tc>
      </w:tr>
      <w:tr w:rsidR="008553D9" w:rsidRPr="00455909" w14:paraId="413D0D0F" w14:textId="77777777" w:rsidTr="008553D9">
        <w:tc>
          <w:tcPr>
            <w:tcW w:w="3020" w:type="dxa"/>
            <w:vAlign w:val="center"/>
          </w:tcPr>
          <w:p w14:paraId="4A4BCDA5" w14:textId="74643E5C" w:rsidR="008553D9" w:rsidRPr="00455909" w:rsidRDefault="00000000" w:rsidP="008553D9">
            <w:pP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c</m:t>
                    </m:r>
                  </m:sub>
                </m:sSub>
              </m:oMath>
            </m:oMathPara>
          </w:p>
        </w:tc>
        <w:tc>
          <w:tcPr>
            <w:tcW w:w="3021" w:type="dxa"/>
            <w:vAlign w:val="center"/>
          </w:tcPr>
          <w:p w14:paraId="591D0523" w14:textId="20A33F43" w:rsidR="008553D9" w:rsidRPr="00455909" w:rsidRDefault="008553D9" w:rsidP="008553D9">
            <w:pPr>
              <w:rPr>
                <w:rFonts w:ascii="Times New Roman" w:hAnsi="Times New Roman" w:cs="Times New Roman"/>
                <w:sz w:val="22"/>
                <w:szCs w:val="22"/>
              </w:rPr>
            </w:pPr>
            <w:r>
              <w:rPr>
                <w:rFonts w:ascii="Times New Roman" w:hAnsi="Times New Roman" w:cs="Times New Roman"/>
                <w:sz w:val="22"/>
                <w:szCs w:val="22"/>
              </w:rPr>
              <w:t>Batch-Aware Crossover probability</w:t>
            </w:r>
          </w:p>
        </w:tc>
        <w:tc>
          <w:tcPr>
            <w:tcW w:w="3021" w:type="dxa"/>
            <w:vAlign w:val="center"/>
          </w:tcPr>
          <w:p w14:paraId="495AF385" w14:textId="458D5E88" w:rsidR="008553D9" w:rsidRPr="00455909" w:rsidRDefault="008553D9" w:rsidP="008553D9">
            <w:pPr>
              <w:rPr>
                <w:rFonts w:ascii="Times New Roman" w:hAnsi="Times New Roman" w:cs="Times New Roman"/>
                <w:sz w:val="22"/>
                <w:szCs w:val="22"/>
              </w:rPr>
            </w:pPr>
            <m:oMathPara>
              <m:oMath>
                <m:r>
                  <w:rPr>
                    <w:rFonts w:ascii="Cambria Math" w:hAnsi="Cambria Math" w:cs="Times New Roman"/>
                    <w:sz w:val="22"/>
                    <w:szCs w:val="22"/>
                  </w:rPr>
                  <m:t>0.90</m:t>
                </m:r>
              </m:oMath>
            </m:oMathPara>
          </w:p>
        </w:tc>
      </w:tr>
      <w:tr w:rsidR="008553D9" w:rsidRPr="00455909" w14:paraId="2D6232E6" w14:textId="77777777" w:rsidTr="008553D9">
        <w:tc>
          <w:tcPr>
            <w:tcW w:w="3020" w:type="dxa"/>
            <w:vAlign w:val="center"/>
          </w:tcPr>
          <w:p w14:paraId="4698B32B" w14:textId="4CC85DE8" w:rsidR="008553D9" w:rsidRPr="00455909" w:rsidRDefault="00000000" w:rsidP="008553D9">
            <w:pPr>
              <w:rPr>
                <w:rFonts w:ascii="Times New Roman" w:eastAsia="Aptos"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m</m:t>
                    </m:r>
                  </m:sub>
                </m:sSub>
              </m:oMath>
            </m:oMathPara>
          </w:p>
        </w:tc>
        <w:tc>
          <w:tcPr>
            <w:tcW w:w="3021" w:type="dxa"/>
            <w:vAlign w:val="center"/>
          </w:tcPr>
          <w:p w14:paraId="6B1E55AE" w14:textId="2541B515" w:rsidR="008553D9" w:rsidRPr="00455909" w:rsidRDefault="008553D9" w:rsidP="008553D9">
            <w:pPr>
              <w:rPr>
                <w:rFonts w:ascii="Times New Roman" w:hAnsi="Times New Roman" w:cs="Times New Roman"/>
                <w:sz w:val="22"/>
                <w:szCs w:val="22"/>
              </w:rPr>
            </w:pPr>
            <w:r>
              <w:rPr>
                <w:rFonts w:ascii="Times New Roman" w:hAnsi="Times New Roman" w:cs="Times New Roman"/>
                <w:sz w:val="22"/>
                <w:szCs w:val="22"/>
              </w:rPr>
              <w:t>Mutation probability (per chromosome)</w:t>
            </w:r>
          </w:p>
        </w:tc>
        <w:tc>
          <w:tcPr>
            <w:tcW w:w="3021" w:type="dxa"/>
            <w:vAlign w:val="center"/>
          </w:tcPr>
          <w:p w14:paraId="05C9E4FB" w14:textId="7A191360" w:rsidR="008553D9" w:rsidRPr="00455909" w:rsidRDefault="008553D9" w:rsidP="008553D9">
            <w:pPr>
              <w:rPr>
                <w:rFonts w:ascii="Times New Roman" w:eastAsia="Aptos" w:hAnsi="Times New Roman" w:cs="Times New Roman"/>
                <w:sz w:val="22"/>
                <w:szCs w:val="22"/>
              </w:rPr>
            </w:pPr>
            <m:oMath>
              <m:r>
                <w:rPr>
                  <w:rFonts w:ascii="Cambria Math" w:hAnsi="Cambria Math" w:cs="Times New Roman"/>
                  <w:sz w:val="22"/>
                  <w:szCs w:val="22"/>
                </w:rPr>
                <m:t>1/</m:t>
              </m:r>
              <m:r>
                <m:rPr>
                  <m:sty m:val="p"/>
                </m:rPr>
                <w:rPr>
                  <w:rFonts w:ascii="Cambria Math" w:eastAsia="Times New Roman" w:hAnsi="Cambria Math" w:cs="Times New Roman"/>
                  <w:color w:val="FF0000"/>
                  <w:kern w:val="0"/>
                  <w:lang w:eastAsia="en-GB"/>
                  <w14:ligatures w14:val="none"/>
                </w:rPr>
                <m:t>|</m:t>
              </m:r>
              <m:r>
                <w:rPr>
                  <w:rFonts w:ascii="Cambria Math" w:eastAsia="Times New Roman" w:hAnsi="Cambria Math" w:cs="Times New Roman"/>
                  <w:color w:val="FF0000"/>
                  <w:kern w:val="0"/>
                  <w:lang w:eastAsia="en-GB"/>
                  <w14:ligatures w14:val="none"/>
                </w:rPr>
                <m:t>I</m:t>
              </m:r>
              <m:r>
                <m:rPr>
                  <m:sty m:val="p"/>
                </m:rPr>
                <w:rPr>
                  <w:rFonts w:ascii="Cambria Math" w:eastAsia="Times New Roman" w:hAnsi="Cambria Math" w:cs="Times New Roman"/>
                  <w:color w:val="FF0000"/>
                  <w:kern w:val="0"/>
                  <w:lang w:eastAsia="en-GB"/>
                  <w14:ligatures w14:val="none"/>
                </w:rPr>
                <m:t xml:space="preserve">| </m:t>
              </m:r>
            </m:oMath>
            <w:r>
              <w:rPr>
                <w:rFonts w:ascii="Times New Roman" w:hAnsi="Times New Roman" w:cs="Times New Roman"/>
                <w:sz w:val="22"/>
                <w:szCs w:val="22"/>
              </w:rPr>
              <w:t xml:space="preserve"> (where </w:t>
            </w:r>
            <w:r>
              <w:rPr>
                <w:rFonts w:ascii="Times New Roman" w:eastAsia="Times New Roman" w:hAnsi="Times New Roman" w:cs="Times New Roman"/>
                <w:color w:val="FF0000"/>
                <w:kern w:val="0"/>
                <w:lang w:eastAsia="en-GB"/>
                <w14:ligatures w14:val="none"/>
              </w:rPr>
              <w:t>|</w:t>
            </w:r>
            <m:oMath>
              <m:r>
                <w:rPr>
                  <w:rFonts w:ascii="Cambria Math" w:eastAsia="Times New Roman" w:hAnsi="Cambria Math" w:cs="Times New Roman"/>
                  <w:color w:val="FF0000"/>
                  <w:kern w:val="0"/>
                  <w:lang w:eastAsia="en-GB"/>
                  <w14:ligatures w14:val="none"/>
                </w:rPr>
                <m:t>I</m:t>
              </m:r>
            </m:oMath>
            <w:r>
              <w:rPr>
                <w:rFonts w:ascii="Times New Roman" w:eastAsia="Times New Roman" w:hAnsi="Times New Roman" w:cs="Times New Roman"/>
                <w:color w:val="FF0000"/>
                <w:kern w:val="0"/>
                <w:lang w:eastAsia="en-GB"/>
                <w14:ligatures w14:val="none"/>
              </w:rPr>
              <w:t xml:space="preserve">| </w:t>
            </w:r>
            <w:r>
              <w:rPr>
                <w:rFonts w:ascii="Times New Roman" w:hAnsi="Times New Roman" w:cs="Times New Roman"/>
                <w:sz w:val="22"/>
                <w:szCs w:val="22"/>
              </w:rPr>
              <w:t xml:space="preserve"> is the number of parts)</w:t>
            </w:r>
          </w:p>
        </w:tc>
      </w:tr>
      <w:tr w:rsidR="008553D9" w:rsidRPr="00455909" w14:paraId="3EBCAD20" w14:textId="77777777" w:rsidTr="008553D9">
        <w:tc>
          <w:tcPr>
            <w:tcW w:w="3020" w:type="dxa"/>
            <w:vAlign w:val="center"/>
          </w:tcPr>
          <w:p w14:paraId="23B6D4CF" w14:textId="17844FDB" w:rsidR="008553D9" w:rsidRPr="00455909" w:rsidRDefault="00000000" w:rsidP="008553D9">
            <w:pPr>
              <w:rPr>
                <w:rFonts w:ascii="Times New Roman" w:eastAsia="Aptos"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ls</m:t>
                    </m:r>
                  </m:sub>
                </m:sSub>
              </m:oMath>
            </m:oMathPara>
          </w:p>
        </w:tc>
        <w:tc>
          <w:tcPr>
            <w:tcW w:w="3021" w:type="dxa"/>
            <w:vAlign w:val="center"/>
          </w:tcPr>
          <w:p w14:paraId="380ED301" w14:textId="2A5531B2" w:rsidR="008553D9" w:rsidRPr="00455909" w:rsidRDefault="008553D9" w:rsidP="008553D9">
            <w:pPr>
              <w:rPr>
                <w:rFonts w:ascii="Times New Roman" w:hAnsi="Times New Roman" w:cs="Times New Roman"/>
                <w:sz w:val="22"/>
                <w:szCs w:val="22"/>
              </w:rPr>
            </w:pPr>
            <w:r>
              <w:rPr>
                <w:rFonts w:ascii="Times New Roman" w:hAnsi="Times New Roman" w:cs="Times New Roman"/>
                <w:sz w:val="22"/>
                <w:szCs w:val="22"/>
              </w:rPr>
              <w:t>Break-Even Local Search probability (per offspring)</w:t>
            </w:r>
          </w:p>
        </w:tc>
        <w:tc>
          <w:tcPr>
            <w:tcW w:w="3021" w:type="dxa"/>
            <w:vAlign w:val="center"/>
          </w:tcPr>
          <w:p w14:paraId="2BC1A3FB" w14:textId="3DF63CAC" w:rsidR="008553D9" w:rsidRPr="00455909" w:rsidRDefault="008553D9" w:rsidP="008553D9">
            <w:pPr>
              <w:rPr>
                <w:rFonts w:ascii="Times New Roman" w:eastAsia="Aptos" w:hAnsi="Times New Roman" w:cs="Times New Roman"/>
                <w:sz w:val="22"/>
                <w:szCs w:val="22"/>
              </w:rPr>
            </w:pPr>
            <m:oMathPara>
              <m:oMath>
                <m:r>
                  <w:rPr>
                    <w:rFonts w:ascii="Cambria Math" w:hAnsi="Cambria Math" w:cs="Times New Roman"/>
                    <w:sz w:val="22"/>
                    <w:szCs w:val="22"/>
                  </w:rPr>
                  <m:t>0.10</m:t>
                </m:r>
              </m:oMath>
            </m:oMathPara>
          </w:p>
        </w:tc>
      </w:tr>
      <w:tr w:rsidR="008553D9" w:rsidRPr="00455909" w14:paraId="360FD743" w14:textId="77777777" w:rsidTr="008553D9">
        <w:tc>
          <w:tcPr>
            <w:tcW w:w="3020" w:type="dxa"/>
            <w:vAlign w:val="center"/>
          </w:tcPr>
          <w:p w14:paraId="09E11381" w14:textId="7FEFBDD1" w:rsidR="008553D9" w:rsidRPr="00455909" w:rsidRDefault="008553D9" w:rsidP="008553D9">
            <w:pPr>
              <w:rPr>
                <w:rFonts w:ascii="Times New Roman" w:eastAsia="Aptos" w:hAnsi="Times New Roman" w:cs="Times New Roman"/>
                <w:sz w:val="22"/>
                <w:szCs w:val="22"/>
              </w:rPr>
            </w:pPr>
            <m:oMathPara>
              <m:oMath>
                <m:r>
                  <w:rPr>
                    <w:rFonts w:ascii="Cambria Math" w:hAnsi="Cambria Math" w:cs="Times New Roman"/>
                    <w:sz w:val="22"/>
                    <w:szCs w:val="22"/>
                  </w:rPr>
                  <m:t>L</m:t>
                </m:r>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frac</m:t>
                    </m:r>
                  </m:sub>
                </m:sSub>
              </m:oMath>
            </m:oMathPara>
          </w:p>
        </w:tc>
        <w:tc>
          <w:tcPr>
            <w:tcW w:w="3021" w:type="dxa"/>
            <w:vAlign w:val="center"/>
          </w:tcPr>
          <w:p w14:paraId="1AB5EDEB" w14:textId="33F17626" w:rsidR="008553D9" w:rsidRPr="00455909" w:rsidRDefault="008553D9" w:rsidP="008553D9">
            <w:pPr>
              <w:rPr>
                <w:rFonts w:ascii="Times New Roman" w:hAnsi="Times New Roman" w:cs="Times New Roman"/>
                <w:sz w:val="22"/>
                <w:szCs w:val="22"/>
              </w:rPr>
            </w:pPr>
            <w:r>
              <w:rPr>
                <w:rFonts w:ascii="Times New Roman" w:hAnsi="Times New Roman" w:cs="Times New Roman"/>
                <w:sz w:val="22"/>
                <w:szCs w:val="22"/>
              </w:rPr>
              <w:t>Fraction of parts evaluated during Local Search</w:t>
            </w:r>
          </w:p>
        </w:tc>
        <w:tc>
          <w:tcPr>
            <w:tcW w:w="3021" w:type="dxa"/>
            <w:vAlign w:val="center"/>
          </w:tcPr>
          <w:p w14:paraId="507510BC" w14:textId="3B66A137" w:rsidR="008553D9" w:rsidRPr="00455909" w:rsidRDefault="008553D9" w:rsidP="008553D9">
            <w:pPr>
              <w:rPr>
                <w:rFonts w:ascii="Times New Roman" w:eastAsia="Aptos" w:hAnsi="Times New Roman" w:cs="Times New Roman"/>
                <w:sz w:val="22"/>
                <w:szCs w:val="22"/>
              </w:rPr>
            </w:pPr>
            <m:oMath>
              <m:r>
                <w:rPr>
                  <w:rFonts w:ascii="Cambria Math" w:hAnsi="Cambria Math" w:cs="Times New Roman"/>
                  <w:sz w:val="22"/>
                  <w:szCs w:val="22"/>
                </w:rPr>
                <m:t>0.05</m:t>
              </m:r>
            </m:oMath>
            <w:r>
              <w:rPr>
                <w:rFonts w:ascii="Times New Roman" w:hAnsi="Times New Roman" w:cs="Times New Roman"/>
                <w:sz w:val="22"/>
                <w:szCs w:val="22"/>
              </w:rPr>
              <w:t xml:space="preserve"> (5% of the total parts)</w:t>
            </w:r>
          </w:p>
        </w:tc>
      </w:tr>
      <w:tr w:rsidR="008553D9" w:rsidRPr="00455909" w14:paraId="083D05C7" w14:textId="77777777" w:rsidTr="008553D9">
        <w:tc>
          <w:tcPr>
            <w:tcW w:w="3020" w:type="dxa"/>
            <w:vAlign w:val="center"/>
          </w:tcPr>
          <w:p w14:paraId="42CD56C0" w14:textId="495A038D" w:rsidR="008553D9" w:rsidRPr="00455909" w:rsidRDefault="008553D9" w:rsidP="008553D9">
            <w:pPr>
              <w:jc w:val="center"/>
              <w:rPr>
                <w:rFonts w:ascii="Times New Roman" w:eastAsia="Aptos" w:hAnsi="Times New Roman" w:cs="Times New Roman"/>
                <w:sz w:val="22"/>
                <w:szCs w:val="22"/>
              </w:rPr>
            </w:pPr>
            <w:r>
              <w:rPr>
                <w:rFonts w:ascii="Times New Roman" w:hAnsi="Times New Roman" w:cs="Times New Roman"/>
                <w:sz w:val="22"/>
                <w:szCs w:val="22"/>
              </w:rPr>
              <w:t>-</w:t>
            </w:r>
          </w:p>
        </w:tc>
        <w:tc>
          <w:tcPr>
            <w:tcW w:w="3021" w:type="dxa"/>
            <w:vAlign w:val="center"/>
          </w:tcPr>
          <w:p w14:paraId="5A85D93E" w14:textId="1D471762" w:rsidR="008553D9" w:rsidRPr="00455909" w:rsidRDefault="008553D9" w:rsidP="008553D9">
            <w:pPr>
              <w:rPr>
                <w:rFonts w:ascii="Times New Roman" w:hAnsi="Times New Roman" w:cs="Times New Roman"/>
                <w:sz w:val="22"/>
                <w:szCs w:val="22"/>
              </w:rPr>
            </w:pPr>
            <w:r>
              <w:rPr>
                <w:rFonts w:ascii="Times New Roman" w:hAnsi="Times New Roman" w:cs="Times New Roman"/>
                <w:sz w:val="22"/>
                <w:szCs w:val="22"/>
              </w:rPr>
              <w:t>Selection mechanism</w:t>
            </w:r>
          </w:p>
        </w:tc>
        <w:tc>
          <w:tcPr>
            <w:tcW w:w="3021" w:type="dxa"/>
            <w:vAlign w:val="center"/>
          </w:tcPr>
          <w:p w14:paraId="5BEC0307" w14:textId="4B58D84D" w:rsidR="008553D9" w:rsidRPr="00455909" w:rsidRDefault="008553D9" w:rsidP="008553D9">
            <w:pPr>
              <w:rPr>
                <w:rFonts w:ascii="Times New Roman" w:eastAsia="Aptos" w:hAnsi="Times New Roman" w:cs="Times New Roman"/>
                <w:sz w:val="22"/>
                <w:szCs w:val="22"/>
              </w:rPr>
            </w:pPr>
            <w:r>
              <w:rPr>
                <w:rFonts w:ascii="Times New Roman" w:hAnsi="Times New Roman" w:cs="Times New Roman"/>
                <w:sz w:val="22"/>
                <w:szCs w:val="22"/>
              </w:rPr>
              <w:t>Binary Tournament Selection (comparing Rank and Crowding Distance)</w:t>
            </w:r>
          </w:p>
        </w:tc>
      </w:tr>
      <w:tr w:rsidR="008553D9" w:rsidRPr="00455909" w14:paraId="7EE68ACB" w14:textId="77777777" w:rsidTr="008553D9">
        <w:tc>
          <w:tcPr>
            <w:tcW w:w="3020" w:type="dxa"/>
            <w:vAlign w:val="center"/>
          </w:tcPr>
          <w:p w14:paraId="04BB299F" w14:textId="2A6EE9AD" w:rsidR="008553D9" w:rsidRPr="00455909" w:rsidRDefault="008553D9" w:rsidP="008553D9">
            <w:pPr>
              <w:jc w:val="center"/>
              <w:rPr>
                <w:rFonts w:ascii="Times New Roman" w:eastAsia="Aptos" w:hAnsi="Times New Roman" w:cs="Times New Roman"/>
                <w:sz w:val="22"/>
                <w:szCs w:val="22"/>
              </w:rPr>
            </w:pPr>
            <w:r>
              <w:rPr>
                <w:rFonts w:ascii="Times New Roman" w:hAnsi="Times New Roman" w:cs="Times New Roman"/>
                <w:sz w:val="22"/>
                <w:szCs w:val="22"/>
              </w:rPr>
              <w:t>-</w:t>
            </w:r>
          </w:p>
        </w:tc>
        <w:tc>
          <w:tcPr>
            <w:tcW w:w="3021" w:type="dxa"/>
            <w:vAlign w:val="center"/>
          </w:tcPr>
          <w:p w14:paraId="1B3868CB" w14:textId="7C07544E" w:rsidR="008553D9" w:rsidRPr="00455909" w:rsidRDefault="008553D9" w:rsidP="008553D9">
            <w:pPr>
              <w:rPr>
                <w:rFonts w:ascii="Times New Roman" w:hAnsi="Times New Roman" w:cs="Times New Roman"/>
                <w:sz w:val="22"/>
                <w:szCs w:val="22"/>
              </w:rPr>
            </w:pPr>
            <w:r>
              <w:rPr>
                <w:rFonts w:ascii="Times New Roman" w:hAnsi="Times New Roman" w:cs="Times New Roman"/>
                <w:sz w:val="22"/>
                <w:szCs w:val="22"/>
              </w:rPr>
              <w:t>Mutation operators</w:t>
            </w:r>
          </w:p>
        </w:tc>
        <w:tc>
          <w:tcPr>
            <w:tcW w:w="3021" w:type="dxa"/>
            <w:vAlign w:val="center"/>
          </w:tcPr>
          <w:p w14:paraId="5E18F7C8" w14:textId="403A38F6" w:rsidR="008553D9" w:rsidRPr="00455909" w:rsidRDefault="008553D9" w:rsidP="008553D9">
            <w:pPr>
              <w:rPr>
                <w:rFonts w:ascii="Times New Roman" w:eastAsia="Aptos" w:hAnsi="Times New Roman" w:cs="Times New Roman"/>
                <w:sz w:val="22"/>
                <w:szCs w:val="22"/>
              </w:rPr>
            </w:pPr>
            <w:r>
              <w:rPr>
                <w:rFonts w:ascii="Times New Roman" w:hAnsi="Times New Roman" w:cs="Times New Roman"/>
                <w:sz w:val="22"/>
                <w:szCs w:val="22"/>
              </w:rPr>
              <w:t>Swap, Relocate, or Orient (applied uniformly at random)</w:t>
            </w:r>
          </w:p>
        </w:tc>
      </w:tr>
      <w:tr w:rsidR="008553D9" w:rsidRPr="00455909" w14:paraId="287BA886" w14:textId="77777777" w:rsidTr="008553D9">
        <w:tc>
          <w:tcPr>
            <w:tcW w:w="3020" w:type="dxa"/>
            <w:tcBorders>
              <w:bottom w:val="single" w:sz="4" w:space="0" w:color="auto"/>
            </w:tcBorders>
            <w:vAlign w:val="center"/>
          </w:tcPr>
          <w:p w14:paraId="19A71588" w14:textId="14A7FC54" w:rsidR="008553D9" w:rsidRPr="00455909" w:rsidRDefault="008553D9" w:rsidP="008553D9">
            <w:pPr>
              <w:jc w:val="center"/>
              <w:rPr>
                <w:rFonts w:ascii="Times New Roman" w:eastAsia="Aptos" w:hAnsi="Times New Roman" w:cs="Times New Roman"/>
                <w:sz w:val="22"/>
                <w:szCs w:val="22"/>
              </w:rPr>
            </w:pPr>
            <w:r>
              <w:rPr>
                <w:rFonts w:ascii="Times New Roman" w:hAnsi="Times New Roman" w:cs="Times New Roman"/>
                <w:sz w:val="22"/>
                <w:szCs w:val="22"/>
              </w:rPr>
              <w:t>-</w:t>
            </w:r>
          </w:p>
        </w:tc>
        <w:tc>
          <w:tcPr>
            <w:tcW w:w="3021" w:type="dxa"/>
            <w:tcBorders>
              <w:bottom w:val="single" w:sz="4" w:space="0" w:color="auto"/>
            </w:tcBorders>
            <w:vAlign w:val="center"/>
          </w:tcPr>
          <w:p w14:paraId="39F1B50F" w14:textId="0B87D685" w:rsidR="008553D9" w:rsidRPr="00455909" w:rsidRDefault="008553D9" w:rsidP="008553D9">
            <w:pPr>
              <w:rPr>
                <w:rFonts w:ascii="Times New Roman" w:hAnsi="Times New Roman" w:cs="Times New Roman"/>
                <w:sz w:val="22"/>
                <w:szCs w:val="22"/>
              </w:rPr>
            </w:pPr>
            <w:r>
              <w:rPr>
                <w:rFonts w:ascii="Times New Roman" w:hAnsi="Times New Roman" w:cs="Times New Roman"/>
                <w:sz w:val="22"/>
                <w:szCs w:val="22"/>
              </w:rPr>
              <w:t>Elitism</w:t>
            </w:r>
          </w:p>
        </w:tc>
        <w:tc>
          <w:tcPr>
            <w:tcW w:w="3021" w:type="dxa"/>
            <w:tcBorders>
              <w:bottom w:val="single" w:sz="4" w:space="0" w:color="auto"/>
            </w:tcBorders>
            <w:vAlign w:val="center"/>
          </w:tcPr>
          <w:p w14:paraId="08BBD233" w14:textId="753D6209" w:rsidR="008553D9" w:rsidRPr="00455909" w:rsidRDefault="008553D9" w:rsidP="008553D9">
            <w:pPr>
              <w:rPr>
                <w:rFonts w:ascii="Times New Roman" w:eastAsia="Aptos" w:hAnsi="Times New Roman" w:cs="Times New Roman"/>
                <w:sz w:val="22"/>
                <w:szCs w:val="22"/>
              </w:rPr>
            </w:pPr>
            <w:r>
              <w:rPr>
                <w:rFonts w:ascii="Times New Roman" w:hAnsi="Times New Roman" w:cs="Times New Roman"/>
                <w:sz w:val="22"/>
                <w:szCs w:val="22"/>
              </w:rPr>
              <w:t>Non-dominated sorting with Crowding Distance (Standard NSGA-II)</w:t>
            </w:r>
          </w:p>
        </w:tc>
      </w:tr>
    </w:tbl>
    <w:p w14:paraId="370DDD36" w14:textId="77777777" w:rsidR="008553D9" w:rsidRPr="008553D9" w:rsidRDefault="008553D9" w:rsidP="008553D9"/>
    <w:p w14:paraId="636DABC1" w14:textId="43E88226" w:rsidR="00274FCC" w:rsidRPr="00274FCC" w:rsidRDefault="008553D9" w:rsidP="00274FCC">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i/>
          <w:iCs/>
          <w:kern w:val="0"/>
          <w:lang w:val="en-US" w:eastAsia="en-GB"/>
          <w14:ligatures w14:val="none"/>
        </w:rPr>
        <w:t>Note:</w:t>
      </w:r>
      <w:r>
        <w:rPr>
          <w:rFonts w:ascii="Times New Roman" w:eastAsia="Times New Roman" w:hAnsi="Times New Roman" w:cs="Times New Roman"/>
          <w:kern w:val="0"/>
          <w:lang w:val="en-US" w:eastAsia="en-GB"/>
          <w14:ligatures w14:val="none"/>
        </w:rPr>
        <w:t xml:space="preserve"> For the scalability stress tests on larger instances, the population size and maximum generations were dynamically scaled relative to the number of parts as </w:t>
      </w:r>
      <m:oMath>
        <m:r>
          <w:rPr>
            <w:rFonts w:ascii="Cambria Math" w:eastAsia="Times New Roman" w:hAnsi="Cambria Math" w:cs="Times New Roman"/>
            <w:kern w:val="0"/>
            <w:lang w:val="en-US" w:eastAsia="en-GB"/>
            <w14:ligatures w14:val="none"/>
          </w:rPr>
          <m:t>N</m:t>
        </m:r>
        <m:r>
          <m:rPr>
            <m:sty m:val="p"/>
          </m:rPr>
          <w:rPr>
            <w:rFonts w:ascii="Cambria Math" w:eastAsia="Times New Roman" w:hAnsi="Cambria Math" w:cs="Times New Roman"/>
            <w:kern w:val="0"/>
            <w:lang w:val="en-US" w:eastAsia="en-GB"/>
            <w14:ligatures w14:val="none"/>
          </w:rPr>
          <m:t>=</m:t>
        </m:r>
        <m:func>
          <m:funcPr>
            <m:ctrlPr>
              <w:rPr>
                <w:rFonts w:ascii="Cambria Math" w:eastAsia="Times New Roman" w:hAnsi="Cambria Math" w:cs="Times New Roman"/>
                <w:kern w:val="0"/>
                <w:lang w:val="en-US" w:eastAsia="en-GB"/>
                <w14:ligatures w14:val="none"/>
              </w:rPr>
            </m:ctrlPr>
          </m:funcPr>
          <m:fName>
            <m:r>
              <m:rPr>
                <m:sty m:val="p"/>
              </m:rPr>
              <w:rPr>
                <w:rFonts w:ascii="Cambria Math" w:eastAsia="Times New Roman" w:hAnsi="Cambria Math" w:cs="Times New Roman"/>
                <w:kern w:val="0"/>
                <w:lang w:val="en-US" w:eastAsia="en-GB"/>
                <w14:ligatures w14:val="none"/>
              </w:rPr>
              <m:t>max</m:t>
            </m:r>
          </m:fName>
          <m:e>
            <m:d>
              <m:dPr>
                <m:ctrlPr>
                  <w:rPr>
                    <w:rFonts w:ascii="Cambria Math" w:eastAsia="Times New Roman" w:hAnsi="Cambria Math" w:cs="Times New Roman"/>
                    <w:kern w:val="0"/>
                    <w:lang w:val="en-US" w:eastAsia="en-GB"/>
                    <w14:ligatures w14:val="none"/>
                  </w:rPr>
                </m:ctrlPr>
              </m:dPr>
              <m:e>
                <m:r>
                  <m:rPr>
                    <m:sty m:val="p"/>
                  </m:rPr>
                  <w:rPr>
                    <w:rFonts w:ascii="Cambria Math" w:eastAsia="Times New Roman" w:hAnsi="Cambria Math" w:cs="Times New Roman"/>
                    <w:kern w:val="0"/>
                    <w:lang w:val="en-US" w:eastAsia="en-GB"/>
                    <w14:ligatures w14:val="none"/>
                  </w:rPr>
                  <m:t>20,5×</m:t>
                </m:r>
                <m:r>
                  <m:rPr>
                    <m:sty m:val="p"/>
                  </m:rPr>
                  <w:rPr>
                    <w:rFonts w:ascii="Cambria Math" w:eastAsia="Times New Roman" w:hAnsi="Cambria Math" w:cs="Times New Roman"/>
                    <w:color w:val="FF0000"/>
                    <w:kern w:val="0"/>
                    <w:lang w:eastAsia="en-GB"/>
                    <w14:ligatures w14:val="none"/>
                  </w:rPr>
                  <m:t>|</m:t>
                </m:r>
                <m:r>
                  <w:rPr>
                    <w:rFonts w:ascii="Cambria Math" w:eastAsia="Times New Roman" w:hAnsi="Cambria Math" w:cs="Times New Roman"/>
                    <w:color w:val="FF0000"/>
                    <w:kern w:val="0"/>
                    <w:lang w:eastAsia="en-GB"/>
                    <w14:ligatures w14:val="none"/>
                  </w:rPr>
                  <m:t>I</m:t>
                </m:r>
                <m:r>
                  <m:rPr>
                    <m:sty m:val="p"/>
                  </m:rPr>
                  <w:rPr>
                    <w:rFonts w:ascii="Cambria Math" w:eastAsia="Times New Roman" w:hAnsi="Cambria Math" w:cs="Times New Roman"/>
                    <w:color w:val="FF0000"/>
                    <w:kern w:val="0"/>
                    <w:lang w:eastAsia="en-GB"/>
                    <w14:ligatures w14:val="none"/>
                  </w:rPr>
                  <m:t xml:space="preserve">| </m:t>
                </m:r>
              </m:e>
            </m:d>
          </m:e>
        </m:func>
      </m:oMath>
      <w:r>
        <w:rPr>
          <w:rFonts w:ascii="Times New Roman" w:eastAsia="Times New Roman" w:hAnsi="Times New Roman" w:cs="Times New Roman"/>
          <w:kern w:val="0"/>
          <w:lang w:val="en-US" w:eastAsia="en-GB"/>
          <w14:ligatures w14:val="none"/>
        </w:rPr>
        <w:t xml:space="preserve"> and </w:t>
      </w:r>
      <m:oMath>
        <m:r>
          <w:rPr>
            <w:rFonts w:ascii="Cambria Math" w:eastAsia="Times New Roman" w:hAnsi="Cambria Math" w:cs="Times New Roman"/>
            <w:kern w:val="0"/>
            <w:lang w:val="en-US" w:eastAsia="en-GB"/>
            <w14:ligatures w14:val="none"/>
          </w:rPr>
          <m:t>Ge</m:t>
        </m:r>
        <m:sSub>
          <m:sSubPr>
            <m:ctrlPr>
              <w:rPr>
                <w:rFonts w:ascii="Cambria Math" w:eastAsia="Times New Roman" w:hAnsi="Cambria Math" w:cs="Times New Roman"/>
                <w:kern w:val="0"/>
                <w:lang w:val="en-US" w:eastAsia="en-GB"/>
                <w14:ligatures w14:val="none"/>
              </w:rPr>
            </m:ctrlPr>
          </m:sSubPr>
          <m:e>
            <m:r>
              <w:rPr>
                <w:rFonts w:ascii="Cambria Math" w:eastAsia="Times New Roman" w:hAnsi="Cambria Math" w:cs="Times New Roman"/>
                <w:kern w:val="0"/>
                <w:lang w:val="en-US" w:eastAsia="en-GB"/>
                <w14:ligatures w14:val="none"/>
              </w:rPr>
              <m:t>n</m:t>
            </m:r>
          </m:e>
          <m:sub>
            <m:r>
              <w:rPr>
                <w:rFonts w:ascii="Cambria Math" w:eastAsia="Times New Roman" w:hAnsi="Cambria Math" w:cs="Times New Roman"/>
                <w:kern w:val="0"/>
                <w:lang w:val="en-US" w:eastAsia="en-GB"/>
                <w14:ligatures w14:val="none"/>
              </w:rPr>
              <m:t>max</m:t>
            </m:r>
          </m:sub>
        </m:sSub>
        <m:r>
          <m:rPr>
            <m:sty m:val="p"/>
          </m:rPr>
          <w:rPr>
            <w:rFonts w:ascii="Cambria Math" w:eastAsia="Times New Roman" w:hAnsi="Cambria Math" w:cs="Times New Roman"/>
            <w:kern w:val="0"/>
            <w:lang w:val="en-US" w:eastAsia="en-GB"/>
            <w14:ligatures w14:val="none"/>
          </w:rPr>
          <m:t>=</m:t>
        </m:r>
        <m:func>
          <m:funcPr>
            <m:ctrlPr>
              <w:rPr>
                <w:rFonts w:ascii="Cambria Math" w:eastAsia="Times New Roman" w:hAnsi="Cambria Math" w:cs="Times New Roman"/>
                <w:kern w:val="0"/>
                <w:lang w:val="en-US" w:eastAsia="en-GB"/>
                <w14:ligatures w14:val="none"/>
              </w:rPr>
            </m:ctrlPr>
          </m:funcPr>
          <m:fName>
            <m:r>
              <m:rPr>
                <m:sty m:val="p"/>
              </m:rPr>
              <w:rPr>
                <w:rFonts w:ascii="Cambria Math" w:eastAsia="Times New Roman" w:hAnsi="Cambria Math" w:cs="Times New Roman"/>
                <w:kern w:val="0"/>
                <w:lang w:val="en-US" w:eastAsia="en-GB"/>
                <w14:ligatures w14:val="none"/>
              </w:rPr>
              <m:t>max</m:t>
            </m:r>
          </m:fName>
          <m:e>
            <m:d>
              <m:dPr>
                <m:ctrlPr>
                  <w:rPr>
                    <w:rFonts w:ascii="Cambria Math" w:eastAsia="Times New Roman" w:hAnsi="Cambria Math" w:cs="Times New Roman"/>
                    <w:kern w:val="0"/>
                    <w:lang w:val="en-US" w:eastAsia="en-GB"/>
                    <w14:ligatures w14:val="none"/>
                  </w:rPr>
                </m:ctrlPr>
              </m:dPr>
              <m:e>
                <m:r>
                  <m:rPr>
                    <m:sty m:val="p"/>
                  </m:rPr>
                  <w:rPr>
                    <w:rFonts w:ascii="Cambria Math" w:eastAsia="Times New Roman" w:hAnsi="Cambria Math" w:cs="Times New Roman"/>
                    <w:kern w:val="0"/>
                    <w:lang w:val="en-US" w:eastAsia="en-GB"/>
                    <w14:ligatures w14:val="none"/>
                  </w:rPr>
                  <m:t>2000,10×</m:t>
                </m:r>
                <m:r>
                  <m:rPr>
                    <m:sty m:val="p"/>
                  </m:rPr>
                  <w:rPr>
                    <w:rFonts w:ascii="Cambria Math" w:eastAsia="Times New Roman" w:hAnsi="Cambria Math" w:cs="Times New Roman"/>
                    <w:color w:val="FF0000"/>
                    <w:kern w:val="0"/>
                    <w:lang w:eastAsia="en-GB"/>
                    <w14:ligatures w14:val="none"/>
                  </w:rPr>
                  <m:t>|</m:t>
                </m:r>
                <m:r>
                  <w:rPr>
                    <w:rFonts w:ascii="Cambria Math" w:eastAsia="Times New Roman" w:hAnsi="Cambria Math" w:cs="Times New Roman"/>
                    <w:color w:val="FF0000"/>
                    <w:kern w:val="0"/>
                    <w:lang w:eastAsia="en-GB"/>
                    <w14:ligatures w14:val="none"/>
                  </w:rPr>
                  <m:t>I</m:t>
                </m:r>
                <m:r>
                  <m:rPr>
                    <m:sty m:val="p"/>
                  </m:rPr>
                  <w:rPr>
                    <w:rFonts w:ascii="Cambria Math" w:eastAsia="Times New Roman" w:hAnsi="Cambria Math" w:cs="Times New Roman"/>
                    <w:color w:val="FF0000"/>
                    <w:kern w:val="0"/>
                    <w:lang w:eastAsia="en-GB"/>
                    <w14:ligatures w14:val="none"/>
                  </w:rPr>
                  <m:t xml:space="preserve">| </m:t>
                </m:r>
              </m:e>
            </m:d>
          </m:e>
        </m:func>
      </m:oMath>
      <w:r>
        <w:rPr>
          <w:rFonts w:ascii="Times New Roman" w:eastAsia="Times New Roman" w:hAnsi="Times New Roman" w:cs="Times New Roman"/>
          <w:kern w:val="0"/>
          <w:lang w:val="en-US" w:eastAsia="en-GB"/>
          <w14:ligatures w14:val="none"/>
        </w:rPr>
        <w:t xml:space="preserve">, coupled with a stall-limit early stopping criterion to efficiently manage the computational budget. </w:t>
      </w:r>
      <w:r>
        <w:rPr>
          <w:rFonts w:ascii="Times New Roman" w:eastAsia="Times New Roman" w:hAnsi="Times New Roman" w:cs="Times New Roman"/>
          <w:color w:val="FF0000"/>
          <w:kern w:val="0"/>
          <w:lang w:eastAsia="en-GB"/>
          <w14:ligatures w14:val="none"/>
        </w:rPr>
        <w:t xml:space="preserve">When the stall counter exceeds one-third of the stall limit (stall_limit / 3), </w:t>
      </w:r>
      <m:oMath>
        <m:sSub>
          <m:sSubPr>
            <m:ctrlPr>
              <w:rPr>
                <w:rFonts w:ascii="Cambria Math" w:eastAsia="Times New Roman" w:hAnsi="Cambria Math" w:cs="Times New Roman"/>
                <w:color w:val="FF0000"/>
                <w:kern w:val="0"/>
                <w:lang w:eastAsia="en-GB"/>
                <w14:ligatures w14:val="none"/>
              </w:rPr>
            </m:ctrlPr>
          </m:sSubPr>
          <m:e>
            <m:r>
              <w:rPr>
                <w:rFonts w:ascii="Cambria Math" w:eastAsia="Times New Roman" w:hAnsi="Cambria Math" w:cs="Times New Roman"/>
                <w:color w:val="FF0000"/>
                <w:kern w:val="0"/>
                <w:lang w:eastAsia="en-GB"/>
                <w14:ligatures w14:val="none"/>
              </w:rPr>
              <m:t>p</m:t>
            </m:r>
          </m:e>
          <m:sub>
            <m:r>
              <w:rPr>
                <w:rFonts w:ascii="Cambria Math" w:eastAsia="Times New Roman" w:hAnsi="Cambria Math" w:cs="Times New Roman"/>
                <w:color w:val="FF0000"/>
                <w:kern w:val="0"/>
                <w:lang w:eastAsia="en-GB"/>
                <w14:ligatures w14:val="none"/>
              </w:rPr>
              <m:t>m</m:t>
            </m:r>
          </m:sub>
        </m:sSub>
      </m:oMath>
      <w:r>
        <w:rPr>
          <w:rFonts w:ascii="Times New Roman" w:eastAsia="Times New Roman" w:hAnsi="Times New Roman" w:cs="Times New Roman"/>
          <w:color w:val="FF0000"/>
          <w:kern w:val="0"/>
          <w:lang w:eastAsia="en-GB"/>
          <w14:ligatures w14:val="none"/>
        </w:rPr>
        <w:t xml:space="preserve">, </w:t>
      </w:r>
      <m:oMath>
        <m:sSub>
          <m:sSubPr>
            <m:ctrlPr>
              <w:rPr>
                <w:rFonts w:ascii="Cambria Math" w:eastAsia="Times New Roman" w:hAnsi="Cambria Math" w:cs="Times New Roman"/>
                <w:color w:val="FF0000"/>
                <w:kern w:val="0"/>
                <w:lang w:eastAsia="en-GB"/>
                <w14:ligatures w14:val="none"/>
              </w:rPr>
            </m:ctrlPr>
          </m:sSubPr>
          <m:e>
            <m:r>
              <w:rPr>
                <w:rFonts w:ascii="Cambria Math" w:eastAsia="Times New Roman" w:hAnsi="Cambria Math" w:cs="Times New Roman"/>
                <w:color w:val="FF0000"/>
                <w:kern w:val="0"/>
                <w:lang w:eastAsia="en-GB"/>
                <w14:ligatures w14:val="none"/>
              </w:rPr>
              <m:t>p</m:t>
            </m:r>
          </m:e>
          <m:sub>
            <m:r>
              <w:rPr>
                <w:rFonts w:ascii="Cambria Math" w:eastAsia="Times New Roman" w:hAnsi="Cambria Math" w:cs="Times New Roman"/>
                <w:color w:val="FF0000"/>
                <w:kern w:val="0"/>
                <w:lang w:eastAsia="en-GB"/>
                <w14:ligatures w14:val="none"/>
              </w:rPr>
              <m:t>ls</m:t>
            </m:r>
          </m:sub>
        </m:sSub>
      </m:oMath>
      <w:r>
        <w:rPr>
          <w:rFonts w:ascii="Times New Roman" w:eastAsia="Times New Roman" w:hAnsi="Times New Roman" w:cs="Times New Roman"/>
          <w:color w:val="FF0000"/>
          <w:kern w:val="0"/>
          <w:lang w:eastAsia="en-GB"/>
          <w14:ligatures w14:val="none"/>
        </w:rPr>
        <w:t xml:space="preserve">, and </w:t>
      </w:r>
      <m:oMath>
        <m:sSub>
          <m:sSubPr>
            <m:ctrlPr>
              <w:rPr>
                <w:rFonts w:ascii="Cambria Math" w:eastAsia="Times New Roman" w:hAnsi="Cambria Math" w:cs="Times New Roman"/>
                <w:color w:val="FF0000"/>
                <w:kern w:val="0"/>
                <w:lang w:eastAsia="en-GB"/>
                <w14:ligatures w14:val="none"/>
              </w:rPr>
            </m:ctrlPr>
          </m:sSubPr>
          <m:e>
            <m:r>
              <w:rPr>
                <w:rFonts w:ascii="Cambria Math" w:eastAsia="Times New Roman" w:hAnsi="Cambria Math" w:cs="Times New Roman"/>
                <w:color w:val="FF0000"/>
                <w:kern w:val="0"/>
                <w:lang w:eastAsia="en-GB"/>
                <w14:ligatures w14:val="none"/>
              </w:rPr>
              <m:t>p</m:t>
            </m:r>
          </m:e>
          <m:sub>
            <m:r>
              <w:rPr>
                <w:rFonts w:ascii="Cambria Math" w:eastAsia="Times New Roman" w:hAnsi="Cambria Math" w:cs="Times New Roman"/>
                <w:color w:val="FF0000"/>
                <w:kern w:val="0"/>
                <w:lang w:eastAsia="en-GB"/>
                <w14:ligatures w14:val="none"/>
              </w:rPr>
              <m:t>smart</m:t>
            </m:r>
          </m:sub>
        </m:sSub>
      </m:oMath>
      <w:r>
        <w:rPr>
          <w:rFonts w:ascii="Times New Roman" w:eastAsia="Times New Roman" w:hAnsi="Times New Roman" w:cs="Times New Roman"/>
          <w:color w:val="FF0000"/>
          <w:kern w:val="0"/>
          <w:lang w:eastAsia="en-GB"/>
          <w14:ligatures w14:val="none"/>
        </w:rPr>
        <w:t xml:space="preserve"> are adaptively boosted by factors of 1.5 (capped at 0.30), 2.0 (capped at 0.50), and 1.4 (capped at 0.45), respectively.</w:t>
      </w:r>
    </w:p>
    <w:p w14:paraId="758E286A" w14:textId="0162F8F6" w:rsidR="008553D9" w:rsidRPr="007C477E" w:rsidRDefault="008553D9" w:rsidP="007C477E">
      <w:pPr>
        <w:jc w:val="both"/>
        <w:rPr>
          <w:rFonts w:ascii="Times New Roman" w:eastAsia="Times New Roman" w:hAnsi="Times New Roman" w:cs="Times New Roman"/>
          <w:kern w:val="0"/>
          <w:lang w:val="en-US" w:eastAsia="en-GB"/>
          <w14:ligatures w14:val="none"/>
        </w:rPr>
      </w:pPr>
    </w:p>
    <w:p w14:paraId="69B15115" w14:textId="5EC02EB8" w:rsidR="008553D9" w:rsidRPr="007C477E" w:rsidRDefault="00455909" w:rsidP="008553D9">
      <w:pPr>
        <w:rPr>
          <w:rFonts w:ascii="Times New Roman" w:hAnsi="Times New Roman" w:cs="Times New Roman"/>
          <w:b/>
          <w:bCs/>
        </w:rPr>
      </w:pPr>
      <w:r>
        <w:rPr>
          <w:rFonts w:ascii="Times New Roman" w:hAnsi="Times New Roman" w:cs="Times New Roman"/>
          <w:b/>
          <w:bCs/>
        </w:rPr>
        <w:t>C.2. Constraint Handling and Fitness Evaluation</w:t>
      </w:r>
    </w:p>
    <w:p w14:paraId="52808618" w14:textId="0F92527D" w:rsidR="008553D9" w:rsidRPr="007C477E" w:rsidRDefault="008553D9" w:rsidP="007C477E">
      <w:pPr>
        <w:jc w:val="both"/>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 xml:space="preserve">Due to the heavily constrained nature of the 3D printing scheduling problem, traditional penalty functions often fail to guide the population effectively. Therefore, the proposed M-NSGA-II evaluates individuals using Deb’s Constrained Dominance Principle. Under this rule, any feasible solution strictly dominates any infeasible solution. If both solutions are infeasible, the one with the smaller cumulative constraint violation (</w:t>
      </w:r>
      <m:oMath>
        <m:nary>
          <m:naryPr>
            <m:chr m:val="∑"/>
            <m:limLoc m:val="undOvr"/>
            <m:subHide m:val="1"/>
            <m:supHide m:val="1"/>
            <m:ctrlPr>
              <w:rPr>
                <w:rFonts w:ascii="Cambria Math" w:eastAsia="Times New Roman" w:hAnsi="Cambria Math" w:cs="Times New Roman"/>
                <w:kern w:val="0"/>
                <w:lang w:val="en-US" w:eastAsia="en-GB"/>
                <w14:ligatures w14:val="none"/>
              </w:rPr>
            </m:ctrlPr>
          </m:naryPr>
          <m:sub/>
          <m:sup/>
          <m:e>
            <m:r>
              <m:rPr>
                <m:nor/>
              </m:rPr>
              <w:rPr>
                <w:rFonts w:ascii="Times New Roman" w:eastAsia="Times New Roman" w:hAnsi="Times New Roman" w:cs="Times New Roman"/>
                <w:kern w:val="0"/>
                <w:lang w:val="en-US" w:eastAsia="en-GB"/>
                <w14:ligatures w14:val="none"/>
              </w:rPr>
              <m:t>capacity overflows</m:t>
            </m:r>
          </m:e>
        </m:nary>
      </m:oMath>
      <w:r>
        <w:rPr>
          <w:rFonts w:ascii="Times New Roman" w:eastAsia="Times New Roman" w:hAnsi="Times New Roman" w:cs="Times New Roman"/>
          <w:kern w:val="0"/>
          <w:lang w:val="en-US" w:eastAsia="en-GB"/>
          <w14:ligatures w14:val="none"/>
        </w:rPr>
        <w:t>) dominates. Objective functions (</w:t>
      </w:r>
      <m:oMath>
        <m:sSub>
          <m:sSubPr>
            <m:ctrlPr>
              <w:rPr>
                <w:rFonts w:ascii="Cambria Math" w:eastAsia="Times New Roman" w:hAnsi="Cambria Math" w:cs="Times New Roman"/>
                <w:kern w:val="0"/>
                <w:lang w:val="en-US" w:eastAsia="en-GB"/>
                <w14:ligatures w14:val="none"/>
              </w:rPr>
            </m:ctrlPr>
          </m:sSubPr>
          <m:e>
            <m:r>
              <w:rPr>
                <w:rFonts w:ascii="Cambria Math" w:eastAsia="Times New Roman" w:hAnsi="Cambria Math" w:cs="Times New Roman"/>
                <w:kern w:val="0"/>
                <w:lang w:val="en-US" w:eastAsia="en-GB"/>
                <w14:ligatures w14:val="none"/>
              </w:rPr>
              <m:t>C</m:t>
            </m:r>
          </m:e>
          <m:sub>
            <m:r>
              <w:rPr>
                <w:rFonts w:ascii="Cambria Math" w:eastAsia="Times New Roman" w:hAnsi="Cambria Math" w:cs="Times New Roman"/>
                <w:kern w:val="0"/>
                <w:lang w:val="en-US" w:eastAsia="en-GB"/>
                <w14:ligatures w14:val="none"/>
              </w:rPr>
              <m:t>tot</m:t>
            </m:r>
          </m:sub>
        </m:sSub>
      </m:oMath>
      <w:r>
        <w:rPr>
          <w:rFonts w:ascii="Times New Roman" w:eastAsia="Times New Roman" w:hAnsi="Times New Roman" w:cs="Times New Roman"/>
          <w:kern w:val="0"/>
          <w:lang w:val="en-US" w:eastAsia="en-GB"/>
          <w14:ligatures w14:val="none"/>
        </w:rPr>
        <w:t xml:space="preserve"> and </w:t>
      </w:r>
      <m:oMath>
        <m:r>
          <w:rPr>
            <w:rFonts w:ascii="Cambria Math" w:eastAsia="Times New Roman" w:hAnsi="Cambria Math" w:cs="Times New Roman"/>
            <w:kern w:val="0"/>
            <w:lang w:val="en-US" w:eastAsia="en-GB"/>
            <w14:ligatures w14:val="none"/>
          </w:rPr>
          <m:t>C</m:t>
        </m:r>
        <m:sSub>
          <m:sSubPr>
            <m:ctrlPr>
              <w:rPr>
                <w:rFonts w:ascii="Cambria Math" w:eastAsia="Times New Roman" w:hAnsi="Cambria Math" w:cs="Times New Roman"/>
                <w:kern w:val="0"/>
                <w:lang w:val="en-US" w:eastAsia="en-GB"/>
                <w14:ligatures w14:val="none"/>
              </w:rPr>
            </m:ctrlPr>
          </m:sSubPr>
          <m:e>
            <m:r>
              <w:rPr>
                <w:rFonts w:ascii="Cambria Math" w:eastAsia="Times New Roman" w:hAnsi="Cambria Math" w:cs="Times New Roman"/>
                <w:kern w:val="0"/>
                <w:lang w:val="en-US" w:eastAsia="en-GB"/>
                <w14:ligatures w14:val="none"/>
              </w:rPr>
              <m:t>E</m:t>
            </m:r>
          </m:e>
          <m:sub>
            <m:r>
              <w:rPr>
                <w:rFonts w:ascii="Cambria Math" w:eastAsia="Times New Roman" w:hAnsi="Cambria Math" w:cs="Times New Roman"/>
                <w:kern w:val="0"/>
                <w:lang w:val="en-US" w:eastAsia="en-GB"/>
                <w14:ligatures w14:val="none"/>
              </w:rPr>
              <m:t>tot</m:t>
            </m:r>
          </m:sub>
        </m:sSub>
      </m:oMath>
      <w:r>
        <w:rPr>
          <w:rFonts w:ascii="Times New Roman" w:eastAsia="Times New Roman" w:hAnsi="Times New Roman" w:cs="Times New Roman"/>
          <w:kern w:val="0"/>
          <w:lang w:val="en-US" w:eastAsia="en-GB"/>
          <w14:ligatures w14:val="none"/>
        </w:rPr>
        <w:t>) are only compared when both solutions are completely feasible or equally infeasible, ensuring that the evolutionary search pressure consistently drives the population toward the feasible regions of the solution space.</w:t>
      </w:r>
    </w:p>
    <w:p w14:paraId="27A51D0A" w14:textId="136791DA" w:rsidR="008553D9" w:rsidRPr="007C477E" w:rsidRDefault="00455909" w:rsidP="008553D9">
      <w:pPr>
        <w:rPr>
          <w:rFonts w:ascii="Times New Roman" w:hAnsi="Times New Roman" w:cs="Times New Roman"/>
          <w:b/>
          <w:bCs/>
        </w:rPr>
      </w:pPr>
      <w:r>
        <w:rPr>
          <w:rFonts w:ascii="Times New Roman" w:hAnsi="Times New Roman" w:cs="Times New Roman"/>
          <w:b/>
          <w:bCs/>
        </w:rPr>
        <w:t>C.3. Computational Environment</w:t>
      </w:r>
    </w:p>
    <w:p w14:paraId="0457C5B4" w14:textId="2DD4990B" w:rsidR="008553D9" w:rsidRPr="007C477E" w:rsidRDefault="008553D9" w:rsidP="007C477E">
      <w:pPr>
        <w:jc w:val="both"/>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All metaheuristic algorithms, including the baseline NSGA-II and the proposed M-NSGA-II, were implemented in Python 3.12. The exact MILP models were solved using the Gurobi Optimizer. All computational experiments and ablation studies were executed on a Lenovo ThinkPad T16 Gen 4 workstation equipped with an Intel Core Ultra 7 processor and 32 GB of RAM.</w:t>
      </w:r>
    </w:p>
    <w:p w14:paraId="5D7FB6BE" w14:textId="77777777" w:rsidR="00274FCC" w:rsidRDefault="00274FCC">
      <w:pPr>
        <w:rPr/>
      </w:pPr>
    </w:p>
    <w:p w14:paraId="0A088D75" w14:textId="77777777" w:rsidR="00274FCC" w:rsidRPr="00274FCC" w:rsidRDefault="00274FCC" w:rsidP="00274FCC">
      <w:pPr>
        <w:keepNext/>
        <w:spacing w:before="240" w:after="60" w:line="276" w:lineRule="auto"/>
        <w:ind w:right="-6"/>
        <w:contextualSpacing/>
        <w:outlineLvl w:val="1"/>
        <w:rPr>
          <w:rFonts w:ascii="Times New Roman" w:eastAsia="Times New Roman" w:hAnsi="Times New Roman" w:cs="Arial"/>
          <w:b/>
          <w:bCs/>
          <w:iCs/>
          <w:kern w:val="0"/>
          <w:lang w:val="it-IT" w:eastAsia="en-GB"/>
          <w14:ligatures w14:val="none"/>
        </w:rPr>
      </w:pPr>
      <w:r>
        <w:rPr>
          <w:rFonts w:ascii="Times New Roman" w:eastAsia="Times New Roman" w:hAnsi="Times New Roman" w:cs="Arial"/>
          <w:b/>
          <w:bCs/>
          <w:iCs/>
          <w:kern w:val="0"/>
          <w:lang w:val="it-IT" w:eastAsia="en-GB"/>
          <w14:ligatures w14:val="none"/>
        </w:rPr>
        <w:t>References</w:t>
      </w:r>
    </w:p>
    <w:p w14:paraId="399F4626" w14:textId="77777777" w:rsidR="00274FCC" w:rsidRDefault="00274FCC" w:rsidP="00274FCC">
      <w:pPr>
        <w:widowControl w:val="0"/>
        <w:spacing w:after="0" w:line="276" w:lineRule="auto"/>
        <w:ind w:left="284" w:right="-7" w:hanging="284"/>
        <w:jc w:val="both"/>
        <w:rPr>
          <w:rFonts w:ascii="Times New Roman" w:eastAsia="Times New Roman" w:hAnsi="Times New Roman" w:cs="Times New Roman"/>
          <w:color w:val="FF0000"/>
          <w:kern w:val="0"/>
          <w:lang w:eastAsia="en-GB"/>
          <w14:ligatures w14:val="none"/>
        </w:rPr>
      </w:pPr>
      <w:r>
        <w:rPr>
          <w:rFonts w:ascii="Times New Roman" w:eastAsia="Times New Roman" w:hAnsi="Times New Roman" w:cs="Times New Roman"/>
          <w:color w:val="FF0000"/>
          <w:kern w:val="0"/>
          <w:lang w:eastAsia="en-GB"/>
          <w14:ligatures w14:val="none"/>
        </w:rPr>
        <w:t>Deb, K., Pratap, A., Agarwal, S., &amp; Meyarivan, T. A. M. T. (2002). A fast and elitist multiobjective genetic algorithm: NSGA-II. </w:t>
      </w:r>
      <w:r>
        <w:rPr>
          <w:rFonts w:ascii="Times New Roman" w:eastAsia="Times New Roman" w:hAnsi="Times New Roman" w:cs="Times New Roman"/>
          <w:i/>
          <w:iCs/>
          <w:color w:val="FF0000"/>
          <w:kern w:val="0"/>
          <w:lang w:eastAsia="en-GB"/>
          <w14:ligatures w14:val="none"/>
        </w:rPr>
        <w:t>IEEE transactions on evolutionary computation</w:t>
      </w:r>
      <w:r>
        <w:rPr>
          <w:rFonts w:ascii="Times New Roman" w:eastAsia="Times New Roman" w:hAnsi="Times New Roman" w:cs="Times New Roman"/>
          <w:color w:val="FF0000"/>
          <w:kern w:val="0"/>
          <w:lang w:eastAsia="en-GB"/>
          <w14:ligatures w14:val="none"/>
        </w:rPr>
        <w:t>, </w:t>
      </w:r>
      <w:r>
        <w:rPr>
          <w:rFonts w:ascii="Times New Roman" w:eastAsia="Times New Roman" w:hAnsi="Times New Roman" w:cs="Times New Roman"/>
          <w:i/>
          <w:iCs/>
          <w:color w:val="FF0000"/>
          <w:kern w:val="0"/>
          <w:lang w:eastAsia="en-GB"/>
          <w14:ligatures w14:val="none"/>
        </w:rPr>
        <w:t>6</w:t>
      </w:r>
      <w:r>
        <w:rPr>
          <w:rFonts w:ascii="Times New Roman" w:eastAsia="Times New Roman" w:hAnsi="Times New Roman" w:cs="Times New Roman"/>
          <w:color w:val="FF0000"/>
          <w:kern w:val="0"/>
          <w:lang w:eastAsia="en-GB"/>
          <w14:ligatures w14:val="none"/>
        </w:rPr>
        <w:t>(2), 182-197.</w:t>
      </w:r>
    </w:p>
    <w:p w14:paraId="23E870E4" w14:textId="7FEA255D" w:rsidR="00274FCC" w:rsidRPr="00274FCC" w:rsidRDefault="00274FCC" w:rsidP="00274FCC">
      <w:pPr>
        <w:widowControl w:val="0"/>
        <w:spacing w:after="0" w:line="276" w:lineRule="auto"/>
        <w:ind w:left="284" w:right="-7" w:hanging="284"/>
        <w:jc w:val="both"/>
        <w:rPr>
          <w:rFonts w:ascii="Times New Roman" w:eastAsia="Times New Roman" w:hAnsi="Times New Roman" w:cs="Times New Roman"/>
          <w:color w:val="FF0000"/>
          <w:kern w:val="0"/>
          <w:lang w:eastAsia="en-GB"/>
          <w14:ligatures w14:val="none"/>
        </w:rPr>
      </w:pPr>
      <w:r>
        <w:rPr>
          <w:rFonts w:ascii="Times New Roman" w:eastAsia="Times New Roman" w:hAnsi="Times New Roman" w:cs="Times New Roman"/>
          <w:color w:val="FF0000"/>
          <w:kern w:val="0"/>
          <w:lang w:eastAsia="en-GB"/>
          <w14:ligatures w14:val="none"/>
        </w:rPr>
        <w:t xml:space="preserve">Ishibuchi, H., Yoshida, T., &amp; Murata, T. (2003). Balance between genetic search and local search in memetic algorithms for multiobjective permutation flowshop scheduling. </w:t>
      </w:r>
      <w:r>
        <w:rPr>
          <w:rFonts w:ascii="Times New Roman" w:eastAsia="Times New Roman" w:hAnsi="Times New Roman" w:cs="Times New Roman"/>
          <w:i/>
          <w:iCs/>
          <w:color w:val="FF0000"/>
          <w:kern w:val="0"/>
          <w:lang w:eastAsia="en-GB"/>
          <w14:ligatures w14:val="none"/>
        </w:rPr>
        <w:t xml:space="preserve">IEEE </w:t>
        <w:lastRenderedPageBreak/>
        <w:t>Transactions on Evolutionary Computation, 7</w:t>
      </w:r>
      <w:r>
        <w:rPr>
          <w:rFonts w:ascii="Times New Roman" w:eastAsia="Times New Roman" w:hAnsi="Times New Roman" w:cs="Times New Roman"/>
          <w:color w:val="FF0000"/>
          <w:kern w:val="0"/>
          <w:lang w:eastAsia="en-GB"/>
          <w14:ligatures w14:val="none"/>
        </w:rPr>
        <w:t>(2), 204–223. https://doi.org/10.1109/TEVC.2003.810752</w:t>
      </w:r>
    </w:p>
    <w:sectPr w:rsidR="00274FCC" w:rsidRPr="00274FCC">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ustafa Akdemir" w:date="2026-10-19T13:21:00Z" w:initials="MA">
    <w:p w14:paraId="74D6BF2F" w14:textId="77777777" w:rsidR="00D54D68" w:rsidRDefault="00D54D68" w:rsidP="008817C5">
      <w:pPr>
        <w:pStyle w:val="CommentText"/>
      </w:pPr>
      <w:r>
        <w:rPr>
          <w:rStyle w:val="CommentReference"/>
        </w:rPr>
        <w:annotationRef/>
      </w:r>
      <w:r>
        <w:t>Remark 5: justify parameter choices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D6BF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EBE34F" w16cex:dateUtc="2026-10-19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D6BF2F" w16cid:durableId="6FEBE3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stafa Akdemir">
    <w15:presenceInfo w15:providerId="AD" w15:userId="S::mustafa.akdemir@balikesir.edu.tr::c6cab64a-c798-4e9b-9afa-c5456a2e9e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4A"/>
    <w:rsid w:val="00274FCC"/>
    <w:rsid w:val="003D6449"/>
    <w:rsid w:val="00455909"/>
    <w:rsid w:val="00562AB7"/>
    <w:rsid w:val="007C477E"/>
    <w:rsid w:val="008553D9"/>
    <w:rsid w:val="00882900"/>
    <w:rsid w:val="00891F8D"/>
    <w:rsid w:val="008E3DCF"/>
    <w:rsid w:val="00944322"/>
    <w:rsid w:val="009D22C9"/>
    <w:rsid w:val="00A07690"/>
    <w:rsid w:val="00C0005A"/>
    <w:rsid w:val="00C02D92"/>
    <w:rsid w:val="00C0454A"/>
    <w:rsid w:val="00CB19A2"/>
    <w:rsid w:val="00D54D68"/>
    <w:rsid w:val="00E607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3227B"/>
  <w15:chartTrackingRefBased/>
  <w15:docId w15:val="{FF746954-2DEA-4D6A-A684-B90D8329D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54A"/>
    <w:rPr>
      <w:rFonts w:eastAsiaTheme="majorEastAsia" w:cstheme="majorBidi"/>
      <w:color w:val="272727" w:themeColor="text1" w:themeTint="D8"/>
    </w:rPr>
  </w:style>
  <w:style w:type="paragraph" w:styleId="Title">
    <w:name w:val="Title"/>
    <w:basedOn w:val="Normal"/>
    <w:next w:val="Normal"/>
    <w:link w:val="TitleChar"/>
    <w:uiPriority w:val="10"/>
    <w:qFormat/>
    <w:rsid w:val="00C04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54A"/>
    <w:pPr>
      <w:spacing w:before="160"/>
      <w:jc w:val="center"/>
    </w:pPr>
    <w:rPr>
      <w:i/>
      <w:iCs/>
      <w:color w:val="404040" w:themeColor="text1" w:themeTint="BF"/>
    </w:rPr>
  </w:style>
  <w:style w:type="character" w:customStyle="1" w:styleId="QuoteChar">
    <w:name w:val="Quote Char"/>
    <w:basedOn w:val="DefaultParagraphFont"/>
    <w:link w:val="Quote"/>
    <w:uiPriority w:val="29"/>
    <w:rsid w:val="00C0454A"/>
    <w:rPr>
      <w:i/>
      <w:iCs/>
      <w:color w:val="404040" w:themeColor="text1" w:themeTint="BF"/>
    </w:rPr>
  </w:style>
  <w:style w:type="paragraph" w:styleId="ListParagraph">
    <w:name w:val="List Paragraph"/>
    <w:basedOn w:val="Normal"/>
    <w:uiPriority w:val="34"/>
    <w:qFormat/>
    <w:rsid w:val="00C0454A"/>
    <w:pPr>
      <w:ind w:left="720"/>
      <w:contextualSpacing/>
    </w:pPr>
  </w:style>
  <w:style w:type="character" w:styleId="IntenseEmphasis">
    <w:name w:val="Intense Emphasis"/>
    <w:basedOn w:val="DefaultParagraphFont"/>
    <w:uiPriority w:val="21"/>
    <w:qFormat/>
    <w:rsid w:val="00C0454A"/>
    <w:rPr>
      <w:i/>
      <w:iCs/>
      <w:color w:val="0F4761" w:themeColor="accent1" w:themeShade="BF"/>
    </w:rPr>
  </w:style>
  <w:style w:type="paragraph" w:styleId="IntenseQuote">
    <w:name w:val="Intense Quote"/>
    <w:basedOn w:val="Normal"/>
    <w:next w:val="Normal"/>
    <w:link w:val="IntenseQuoteChar"/>
    <w:uiPriority w:val="30"/>
    <w:qFormat/>
    <w:rsid w:val="00C04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54A"/>
    <w:rPr>
      <w:i/>
      <w:iCs/>
      <w:color w:val="0F4761" w:themeColor="accent1" w:themeShade="BF"/>
    </w:rPr>
  </w:style>
  <w:style w:type="character" w:styleId="IntenseReference">
    <w:name w:val="Intense Reference"/>
    <w:basedOn w:val="DefaultParagraphFont"/>
    <w:uiPriority w:val="32"/>
    <w:qFormat/>
    <w:rsid w:val="00C0454A"/>
    <w:rPr>
      <w:b/>
      <w:bCs/>
      <w:smallCaps/>
      <w:color w:val="0F4761" w:themeColor="accent1" w:themeShade="BF"/>
      <w:spacing w:val="5"/>
    </w:rPr>
  </w:style>
  <w:style w:type="table" w:styleId="TableGrid">
    <w:name w:val="Table Grid"/>
    <w:basedOn w:val="TableNormal"/>
    <w:uiPriority w:val="39"/>
    <w:rsid w:val="00855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54D68"/>
    <w:pPr>
      <w:spacing w:after="0" w:line="240" w:lineRule="auto"/>
    </w:pPr>
  </w:style>
  <w:style w:type="paragraph" w:styleId="CommentText">
    <w:name w:val="annotation text"/>
    <w:basedOn w:val="Normal"/>
    <w:link w:val="CommentTextChar"/>
    <w:uiPriority w:val="99"/>
    <w:semiHidden/>
    <w:unhideWhenUsed/>
    <w:rsid w:val="00D54D68"/>
    <w:pPr>
      <w:spacing w:line="240" w:lineRule="auto"/>
    </w:pPr>
    <w:rPr>
      <w:sz w:val="20"/>
      <w:szCs w:val="20"/>
    </w:rPr>
  </w:style>
  <w:style w:type="character" w:customStyle="1" w:styleId="CommentTextChar">
    <w:name w:val="Comment Text Char"/>
    <w:basedOn w:val="DefaultParagraphFont"/>
    <w:link w:val="CommentText"/>
    <w:uiPriority w:val="99"/>
    <w:semiHidden/>
    <w:rsid w:val="00D54D68"/>
    <w:rPr>
      <w:sz w:val="20"/>
      <w:szCs w:val="20"/>
    </w:rPr>
  </w:style>
  <w:style w:type="character" w:styleId="CommentReference">
    <w:name w:val="annotation reference"/>
    <w:uiPriority w:val="99"/>
    <w:semiHidden/>
    <w:unhideWhenUsed/>
    <w:rsid w:val="00D54D6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Akdemir</dc:creator>
  <cp:keywords/>
  <dc:description/>
  <cp:lastModifiedBy>Mustafa Akdemir</cp:lastModifiedBy>
  <cp:revision>7</cp:revision>
  <dcterms:created xsi:type="dcterms:W3CDTF">2026-08-13T10:52:00Z</dcterms:created>
  <dcterms:modified xsi:type="dcterms:W3CDTF">2026-10-23T06:27:00Z</dcterms:modified>
</cp:coreProperties>
</file>