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154" w:rsidRPr="00F71DDB" w:rsidRDefault="00536154" w:rsidP="00536154">
      <w:pPr>
        <w:spacing w:after="0"/>
        <w:jc w:val="center"/>
        <w:rPr>
          <w:rStyle w:val="Emphasis"/>
          <w:i w:val="0"/>
          <w:iCs w:val="0"/>
          <w:lang w:val="en-US"/>
        </w:rPr>
      </w:pPr>
      <w:r w:rsidRPr="00642F48">
        <w:rPr>
          <w:rFonts w:ascii="Times New Roman" w:hAnsi="Times New Roman" w:cs="Times New Roman"/>
          <w:b/>
          <w:bCs/>
          <w:szCs w:val="18"/>
          <w:lang w:val="en-US"/>
        </w:rPr>
        <w:t>Table</w:t>
      </w:r>
      <w:r>
        <w:rPr>
          <w:rFonts w:ascii="Times New Roman" w:hAnsi="Times New Roman" w:cs="Times New Roman"/>
          <w:b/>
          <w:bCs/>
          <w:szCs w:val="18"/>
          <w:lang w:val="en-US"/>
        </w:rPr>
        <w:t xml:space="preserve"> G1</w:t>
      </w:r>
      <w:r w:rsidRPr="00642F48">
        <w:rPr>
          <w:rFonts w:ascii="Times New Roman" w:hAnsi="Times New Roman" w:cs="Times New Roman"/>
          <w:b/>
          <w:bCs/>
          <w:szCs w:val="18"/>
          <w:lang w:val="en-US"/>
        </w:rPr>
        <w:t xml:space="preserve">. </w:t>
      </w:r>
      <w:r w:rsidRPr="00C2174E">
        <w:rPr>
          <w:rFonts w:ascii="Times New Roman" w:hAnsi="Times New Roman" w:cs="Times New Roman"/>
          <w:szCs w:val="18"/>
          <w:lang w:val="en-US"/>
        </w:rPr>
        <w:t xml:space="preserve">Delphi study results </w:t>
      </w:r>
      <w:r>
        <w:rPr>
          <w:rFonts w:ascii="Times New Roman" w:hAnsi="Times New Roman" w:cs="Times New Roman"/>
          <w:szCs w:val="18"/>
          <w:lang w:val="en-US"/>
        </w:rPr>
        <w:t xml:space="preserve">per each group of practitioners and </w:t>
      </w:r>
      <w:r w:rsidRPr="00C2174E">
        <w:rPr>
          <w:rFonts w:ascii="Times New Roman" w:hAnsi="Times New Roman" w:cs="Times New Roman"/>
          <w:szCs w:val="18"/>
          <w:lang w:val="en-US"/>
        </w:rPr>
        <w:t xml:space="preserve">per each round in terms of </w:t>
      </w:r>
      <w:r>
        <w:rPr>
          <w:rFonts w:ascii="Times New Roman" w:hAnsi="Times New Roman" w:cs="Times New Roman"/>
          <w:szCs w:val="18"/>
          <w:lang w:val="en-US"/>
        </w:rPr>
        <w:t xml:space="preserve">median, </w:t>
      </w:r>
      <w:r w:rsidRPr="00C2174E">
        <w:rPr>
          <w:rFonts w:ascii="Times New Roman" w:hAnsi="Times New Roman" w:cs="Times New Roman"/>
          <w:szCs w:val="18"/>
          <w:lang w:val="en-US"/>
        </w:rPr>
        <w:t xml:space="preserve">IQR, </w:t>
      </w:r>
      <w:r>
        <w:rPr>
          <w:rFonts w:ascii="Times New Roman" w:hAnsi="Times New Roman" w:cs="Times New Roman"/>
          <w:szCs w:val="18"/>
          <w:lang w:val="en-US"/>
        </w:rPr>
        <w:t>and stability</w:t>
      </w:r>
      <w:r w:rsidRPr="00C2174E">
        <w:rPr>
          <w:rFonts w:ascii="Times New Roman" w:hAnsi="Times New Roman" w:cs="Times New Roman"/>
          <w:szCs w:val="18"/>
          <w:lang w:val="en-US"/>
        </w:rPr>
        <w:t xml:space="preserve"> per each </w:t>
      </w:r>
      <w:r>
        <w:rPr>
          <w:rFonts w:ascii="Times New Roman" w:hAnsi="Times New Roman" w:cs="Times New Roman"/>
          <w:szCs w:val="18"/>
          <w:lang w:val="en-US"/>
        </w:rPr>
        <w:t>countermeasure</w:t>
      </w:r>
      <w:r w:rsidRPr="00C2174E">
        <w:rPr>
          <w:rFonts w:ascii="Times New Roman" w:hAnsi="Times New Roman" w:cs="Times New Roman"/>
          <w:szCs w:val="18"/>
          <w:lang w:val="en-US"/>
        </w:rPr>
        <w:t>. Source: Created by author.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8"/>
        <w:gridCol w:w="2589"/>
        <w:gridCol w:w="1056"/>
        <w:gridCol w:w="851"/>
        <w:gridCol w:w="1057"/>
        <w:gridCol w:w="851"/>
        <w:gridCol w:w="813"/>
        <w:gridCol w:w="1047"/>
        <w:gridCol w:w="846"/>
        <w:gridCol w:w="1047"/>
        <w:gridCol w:w="846"/>
        <w:gridCol w:w="813"/>
      </w:tblGrid>
      <w:tr w:rsidR="00536154" w:rsidRPr="00536154" w:rsidTr="005A2C5C">
        <w:tc>
          <w:tcPr>
            <w:tcW w:w="2241" w:type="dxa"/>
            <w:vMerge w:val="restart"/>
            <w:tcBorders>
              <w:top w:val="single" w:sz="12" w:space="0" w:color="auto"/>
            </w:tcBorders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bookmarkStart w:id="0" w:name="_Hlk203312705"/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Challenge</w:t>
            </w:r>
          </w:p>
        </w:tc>
        <w:tc>
          <w:tcPr>
            <w:tcW w:w="2658" w:type="dxa"/>
            <w:vMerge w:val="restart"/>
            <w:tcBorders>
              <w:top w:val="single" w:sz="12" w:space="0" w:color="auto"/>
            </w:tcBorders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Countermeasure</w:t>
            </w:r>
          </w:p>
        </w:tc>
        <w:tc>
          <w:tcPr>
            <w:tcW w:w="4705" w:type="dxa"/>
            <w:gridSpan w:val="5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Early-Stage Adopters</w:t>
            </w:r>
          </w:p>
        </w:tc>
        <w:tc>
          <w:tcPr>
            <w:tcW w:w="4673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Advanced-Stage Adopters</w:t>
            </w:r>
          </w:p>
        </w:tc>
      </w:tr>
      <w:tr w:rsidR="00536154" w:rsidRPr="00536154" w:rsidTr="005A2C5C">
        <w:tc>
          <w:tcPr>
            <w:tcW w:w="2241" w:type="dxa"/>
            <w:vMerge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  <w:vMerge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936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Round 2</w:t>
            </w:r>
          </w:p>
        </w:tc>
        <w:tc>
          <w:tcPr>
            <w:tcW w:w="2769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Round 3</w:t>
            </w:r>
          </w:p>
        </w:tc>
        <w:tc>
          <w:tcPr>
            <w:tcW w:w="192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Round 2</w:t>
            </w:r>
          </w:p>
        </w:tc>
        <w:tc>
          <w:tcPr>
            <w:tcW w:w="2752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Round 3</w:t>
            </w:r>
          </w:p>
        </w:tc>
      </w:tr>
      <w:tr w:rsidR="00536154" w:rsidRPr="00536154" w:rsidTr="005A2C5C">
        <w:tc>
          <w:tcPr>
            <w:tcW w:w="2241" w:type="dxa"/>
            <w:vMerge/>
            <w:tcBorders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  <w:vMerge/>
            <w:tcBorders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066" w:type="dxa"/>
            <w:tcBorders>
              <w:top w:val="single" w:sz="12" w:space="0" w:color="auto"/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870" w:type="dxa"/>
            <w:tcBorders>
              <w:top w:val="single" w:sz="12" w:space="0" w:color="auto"/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IQR</w:t>
            </w:r>
          </w:p>
        </w:tc>
        <w:tc>
          <w:tcPr>
            <w:tcW w:w="1067" w:type="dxa"/>
            <w:tcBorders>
              <w:top w:val="single" w:sz="12" w:space="0" w:color="auto"/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870" w:type="dxa"/>
            <w:tcBorders>
              <w:top w:val="single" w:sz="12" w:space="0" w:color="auto"/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IQR</w:t>
            </w:r>
          </w:p>
        </w:tc>
        <w:tc>
          <w:tcPr>
            <w:tcW w:w="83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ρ</w:t>
            </w:r>
          </w:p>
        </w:tc>
        <w:tc>
          <w:tcPr>
            <w:tcW w:w="105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865" w:type="dxa"/>
            <w:tcBorders>
              <w:top w:val="single" w:sz="12" w:space="0" w:color="auto"/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IQR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865" w:type="dxa"/>
            <w:tcBorders>
              <w:top w:val="single" w:sz="12" w:space="0" w:color="auto"/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IQR</w:t>
            </w:r>
          </w:p>
        </w:tc>
        <w:tc>
          <w:tcPr>
            <w:tcW w:w="831" w:type="dxa"/>
            <w:tcBorders>
              <w:top w:val="single" w:sz="12" w:space="0" w:color="auto"/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b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b/>
                <w:i w:val="0"/>
                <w:sz w:val="22"/>
                <w:szCs w:val="22"/>
                <w:lang w:val="en-US"/>
              </w:rPr>
              <w:t>ρ</w:t>
            </w:r>
          </w:p>
        </w:tc>
      </w:tr>
      <w:tr w:rsidR="00536154" w:rsidRPr="00536154" w:rsidTr="005A2C5C">
        <w:tc>
          <w:tcPr>
            <w:tcW w:w="2241" w:type="dxa"/>
            <w:vMerge w:val="restart"/>
            <w:tcBorders>
              <w:top w:val="single" w:sz="12" w:space="0" w:color="auto"/>
            </w:tcBorders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sz w:val="22"/>
                <w:szCs w:val="22"/>
                <w:lang w:eastAsia="it-IT"/>
              </w:rPr>
              <w:t>Lack of Supplier</w:t>
            </w:r>
          </w:p>
        </w:tc>
        <w:tc>
          <w:tcPr>
            <w:tcW w:w="2658" w:type="dxa"/>
            <w:tcBorders>
              <w:top w:val="single" w:sz="12" w:space="0" w:color="auto"/>
            </w:tcBorders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Supplier support scheme</w:t>
            </w:r>
          </w:p>
        </w:tc>
        <w:tc>
          <w:tcPr>
            <w:tcW w:w="1066" w:type="dxa"/>
            <w:tcBorders>
              <w:top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70" w:type="dxa"/>
            <w:tcBorders>
              <w:top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7" w:type="dxa"/>
            <w:tcBorders>
              <w:top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  <w:tcBorders>
              <w:top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2" w:type="dxa"/>
            <w:tcBorders>
              <w:top w:val="single" w:sz="12" w:space="0" w:color="auto"/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0.68</w:t>
            </w:r>
          </w:p>
        </w:tc>
        <w:tc>
          <w:tcPr>
            <w:tcW w:w="1056" w:type="dxa"/>
            <w:tcBorders>
              <w:top w:val="single" w:sz="12" w:space="0" w:color="auto"/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  <w:tcBorders>
              <w:top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  <w:tcBorders>
              <w:top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  <w:tcBorders>
              <w:top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  <w:tcBorders>
              <w:top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0.83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Qualified Supplier Program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</w:tr>
      <w:tr w:rsidR="00536154" w:rsidRPr="00536154" w:rsidTr="005A2C5C">
        <w:tc>
          <w:tcPr>
            <w:tcW w:w="2241" w:type="dxa"/>
            <w:vMerge w:val="restart"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sz w:val="22"/>
                <w:szCs w:val="22"/>
                <w:lang w:eastAsia="it-IT"/>
              </w:rPr>
              <w:t>High Investment Costs</w:t>
            </w: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AM machine acquisition support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0.79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AM machine innovation fund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0.91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Cost-effective AM machine development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0.87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Military asset sharing program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0.77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AM machine leasing program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0.42</w:t>
            </w:r>
          </w:p>
        </w:tc>
      </w:tr>
      <w:tr w:rsidR="00536154" w:rsidRPr="00536154" w:rsidTr="005A2C5C">
        <w:tc>
          <w:tcPr>
            <w:tcW w:w="2241" w:type="dxa"/>
            <w:vMerge w:val="restart"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sz w:val="22"/>
                <w:szCs w:val="22"/>
                <w:lang w:eastAsia="it-IT"/>
              </w:rPr>
              <w:t>High Operational Costs</w:t>
            </w: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Cost-Effective materials &amp; machines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0.85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Design and process optimization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0.88</w:t>
            </w:r>
          </w:p>
        </w:tc>
      </w:tr>
      <w:tr w:rsidR="00536154" w:rsidRPr="00536154" w:rsidTr="005A2C5C">
        <w:tc>
          <w:tcPr>
            <w:tcW w:w="2241" w:type="dxa"/>
            <w:vMerge w:val="restart"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sz w:val="22"/>
                <w:szCs w:val="22"/>
                <w:lang w:eastAsia="it-IT"/>
              </w:rPr>
              <w:t>IP Issues &amp; Data Breaches</w:t>
            </w: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IT security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0.77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IP licensing agreements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</w:tr>
      <w:tr w:rsidR="00536154" w:rsidRPr="00536154" w:rsidTr="005A2C5C">
        <w:tc>
          <w:tcPr>
            <w:tcW w:w="2241" w:type="dxa"/>
            <w:vMerge w:val="restart"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sz w:val="22"/>
                <w:szCs w:val="22"/>
                <w:lang w:eastAsia="it-IT"/>
              </w:rPr>
              <w:t>Workforce resistance</w:t>
            </w: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Battlefield AM benefits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0.72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0.71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Upskilling and training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0.66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AM academic awareness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0.91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AM benefits campaigns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0.65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</w:tr>
      <w:tr w:rsidR="00536154" w:rsidRPr="00536154" w:rsidTr="005A2C5C">
        <w:tc>
          <w:tcPr>
            <w:tcW w:w="2241" w:type="dxa"/>
            <w:vMerge w:val="restart"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sz w:val="22"/>
                <w:szCs w:val="22"/>
                <w:lang w:eastAsia="it-IT"/>
              </w:rPr>
              <w:t>Standardization and Certification</w:t>
            </w: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AM guidelines and standards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0.93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0.43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Internal guidelines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0.65</w:t>
            </w:r>
          </w:p>
        </w:tc>
      </w:tr>
      <w:tr w:rsidR="00536154" w:rsidRPr="00536154" w:rsidTr="005A2C5C">
        <w:tc>
          <w:tcPr>
            <w:tcW w:w="2241" w:type="dxa"/>
            <w:vMerge w:val="restart"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sz w:val="22"/>
                <w:szCs w:val="22"/>
                <w:lang w:eastAsia="it-IT"/>
              </w:rPr>
              <w:t>Material Limitation</w:t>
            </w: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Raw materials development fund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0.93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0.76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Raw materials innovation R&amp;D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0.79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Material selection-driven design changes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0.32</w:t>
            </w:r>
          </w:p>
        </w:tc>
      </w:tr>
      <w:tr w:rsidR="00536154" w:rsidRPr="00536154" w:rsidTr="005A2C5C">
        <w:tc>
          <w:tcPr>
            <w:tcW w:w="2241" w:type="dxa"/>
            <w:vMerge w:val="restart"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de-DE"/>
              </w:rPr>
            </w:pPr>
            <w:r w:rsidRPr="00536154">
              <w:rPr>
                <w:sz w:val="22"/>
                <w:szCs w:val="22"/>
                <w:lang w:eastAsia="it-IT"/>
              </w:rPr>
              <w:t>Lack of skilled personnel</w:t>
            </w: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External education and training programs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0.92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AM curricula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0.69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0.33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Internal education and training programs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</w:tr>
      <w:tr w:rsidR="00536154" w:rsidRPr="00536154" w:rsidTr="005A2C5C">
        <w:tc>
          <w:tcPr>
            <w:tcW w:w="2241" w:type="dxa"/>
            <w:vMerge w:val="restart"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sz w:val="22"/>
                <w:szCs w:val="22"/>
                <w:lang w:eastAsia="it-IT"/>
              </w:rPr>
              <w:t>Lack of managerial support</w:t>
            </w: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Battlefield AM benefits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0.85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sz w:val="22"/>
                <w:szCs w:val="22"/>
                <w:lang w:eastAsia="it-IT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Academic AM awareness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0.71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</w:tr>
      <w:tr w:rsidR="00536154" w:rsidRPr="00536154" w:rsidTr="005A2C5C">
        <w:tc>
          <w:tcPr>
            <w:tcW w:w="2241" w:type="dxa"/>
            <w:vMerge w:val="restart"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sz w:val="22"/>
                <w:szCs w:val="22"/>
                <w:lang w:eastAsia="it-IT"/>
              </w:rPr>
              <w:t>Production Limitation</w:t>
            </w: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AM machine improvement fund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0.80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0.82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sz w:val="22"/>
                <w:szCs w:val="22"/>
                <w:lang w:eastAsia="it-IT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High-performance AM machine development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0.78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0.36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sz w:val="22"/>
                <w:szCs w:val="22"/>
                <w:lang w:eastAsia="it-IT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Smart design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0.64</w:t>
            </w:r>
          </w:p>
        </w:tc>
      </w:tr>
      <w:tr w:rsidR="00536154" w:rsidRPr="00536154" w:rsidTr="005A2C5C">
        <w:tc>
          <w:tcPr>
            <w:tcW w:w="2241" w:type="dxa"/>
            <w:vMerge w:val="restart"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sz w:val="22"/>
                <w:szCs w:val="22"/>
                <w:lang w:eastAsia="it-IT"/>
              </w:rPr>
              <w:t>Need for post-process operations</w:t>
            </w: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High-quality AM machine development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0.71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sz w:val="22"/>
                <w:szCs w:val="22"/>
                <w:lang w:eastAsia="it-IT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Smart design and process selection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</w:tr>
      <w:tr w:rsidR="00536154" w:rsidRPr="00536154" w:rsidTr="005A2C5C">
        <w:tc>
          <w:tcPr>
            <w:tcW w:w="2241" w:type="dxa"/>
            <w:vMerge w:val="restart"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sz w:val="22"/>
                <w:szCs w:val="22"/>
                <w:lang w:eastAsia="it-IT"/>
              </w:rPr>
              <w:t>Low Quality</w:t>
            </w: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High-quality AM machine and material development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0.83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0.87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sz w:val="22"/>
                <w:szCs w:val="22"/>
                <w:lang w:eastAsia="it-IT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Quality-based process parameters tuning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0.59</w:t>
            </w:r>
          </w:p>
        </w:tc>
      </w:tr>
      <w:tr w:rsidR="00536154" w:rsidRPr="00536154" w:rsidTr="005A2C5C">
        <w:tc>
          <w:tcPr>
            <w:tcW w:w="2241" w:type="dxa"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sz w:val="22"/>
                <w:szCs w:val="22"/>
                <w:lang w:eastAsia="it-IT"/>
              </w:rPr>
              <w:t>Lack of governmental support</w:t>
            </w: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Lobby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0.96</w:t>
            </w:r>
          </w:p>
        </w:tc>
      </w:tr>
      <w:tr w:rsidR="00536154" w:rsidRPr="00536154" w:rsidTr="005A2C5C">
        <w:tc>
          <w:tcPr>
            <w:tcW w:w="2241" w:type="dxa"/>
            <w:vMerge w:val="restart"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sz w:val="22"/>
                <w:szCs w:val="22"/>
                <w:lang w:eastAsia="it-IT"/>
              </w:rPr>
              <w:t>Difficult ecosystem establishment</w:t>
            </w: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Collaborative platforms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0.87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0.61</w:t>
            </w:r>
          </w:p>
        </w:tc>
      </w:tr>
      <w:tr w:rsidR="00536154" w:rsidRPr="00536154" w:rsidTr="005A2C5C">
        <w:tc>
          <w:tcPr>
            <w:tcW w:w="2241" w:type="dxa"/>
            <w:vMerge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sz w:val="22"/>
                <w:szCs w:val="22"/>
                <w:lang w:eastAsia="it-IT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Ecosystem models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0.79</w:t>
            </w:r>
          </w:p>
        </w:tc>
      </w:tr>
      <w:tr w:rsidR="00536154" w:rsidRPr="00536154" w:rsidTr="005A2C5C">
        <w:tc>
          <w:tcPr>
            <w:tcW w:w="2241" w:type="dxa"/>
            <w:vMerge w:val="restart"/>
            <w:vAlign w:val="center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sz w:val="22"/>
                <w:szCs w:val="22"/>
                <w:lang w:eastAsia="it-IT"/>
              </w:rPr>
              <w:t>Lack of process repeatability</w:t>
            </w: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High-</w:t>
            </w:r>
            <w:proofErr w:type="spellStart"/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repeatibility</w:t>
            </w:r>
            <w:proofErr w:type="spellEnd"/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 xml:space="preserve"> AM machine development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0.29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0.77</w:t>
            </w:r>
          </w:p>
        </w:tc>
      </w:tr>
      <w:tr w:rsidR="00536154" w:rsidRPr="00536154" w:rsidTr="005A2C5C">
        <w:tc>
          <w:tcPr>
            <w:tcW w:w="2241" w:type="dxa"/>
            <w:vMerge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proofErr w:type="spellStart"/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Repeatibility</w:t>
            </w:r>
            <w:proofErr w:type="spellEnd"/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-based process parameters tuning</w:t>
            </w:r>
          </w:p>
        </w:tc>
        <w:tc>
          <w:tcPr>
            <w:tcW w:w="106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67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32" w:type="dxa"/>
            <w:tcBorders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056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831" w:type="dxa"/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0.67</w:t>
            </w:r>
          </w:p>
        </w:tc>
      </w:tr>
      <w:tr w:rsidR="00536154" w:rsidRPr="00536154" w:rsidTr="005A2C5C">
        <w:tc>
          <w:tcPr>
            <w:tcW w:w="2241" w:type="dxa"/>
            <w:vMerge/>
            <w:tcBorders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2658" w:type="dxa"/>
            <w:tcBorders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 xml:space="preserve">AM standards for </w:t>
            </w:r>
            <w:proofErr w:type="spellStart"/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repeatibility</w:t>
            </w:r>
            <w:proofErr w:type="spellEnd"/>
          </w:p>
        </w:tc>
        <w:tc>
          <w:tcPr>
            <w:tcW w:w="1066" w:type="dxa"/>
            <w:tcBorders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  <w:tcBorders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67" w:type="dxa"/>
            <w:tcBorders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70" w:type="dxa"/>
            <w:tcBorders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832" w:type="dxa"/>
            <w:tcBorders>
              <w:bottom w:val="single" w:sz="12" w:space="0" w:color="auto"/>
              <w:right w:val="single" w:sz="4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N/A</w:t>
            </w:r>
          </w:p>
        </w:tc>
        <w:tc>
          <w:tcPr>
            <w:tcW w:w="1056" w:type="dxa"/>
            <w:tcBorders>
              <w:left w:val="single" w:sz="4" w:space="0" w:color="auto"/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865" w:type="dxa"/>
            <w:tcBorders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  <w:r w:rsidRPr="00536154">
              <w:rPr>
                <w:rStyle w:val="Emphasis"/>
                <w:i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056" w:type="dxa"/>
            <w:tcBorders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65" w:type="dxa"/>
            <w:tcBorders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  <w:tc>
          <w:tcPr>
            <w:tcW w:w="831" w:type="dxa"/>
            <w:tcBorders>
              <w:bottom w:val="single" w:sz="12" w:space="0" w:color="auto"/>
            </w:tcBorders>
          </w:tcPr>
          <w:p w:rsidR="00536154" w:rsidRPr="00536154" w:rsidRDefault="00536154" w:rsidP="005A2C5C">
            <w:pPr>
              <w:pStyle w:val="BodyText"/>
              <w:spacing w:before="0"/>
              <w:jc w:val="center"/>
              <w:rPr>
                <w:rStyle w:val="Emphasis"/>
                <w:i w:val="0"/>
                <w:sz w:val="22"/>
                <w:szCs w:val="22"/>
                <w:lang w:val="en-US"/>
              </w:rPr>
            </w:pPr>
          </w:p>
        </w:tc>
      </w:tr>
    </w:tbl>
    <w:p w:rsidR="00536154" w:rsidRDefault="00536154" w:rsidP="00536154">
      <w:bookmarkStart w:id="1" w:name="_GoBack"/>
      <w:bookmarkEnd w:id="0"/>
      <w:bookmarkEnd w:id="1"/>
    </w:p>
    <w:sectPr w:rsidR="00536154" w:rsidSect="0053615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54"/>
    <w:rsid w:val="002811A6"/>
    <w:rsid w:val="0053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219B"/>
  <w15:chartTrackingRefBased/>
  <w15:docId w15:val="{B3516A0D-D394-437E-BA05-B2B7CAAC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36154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536154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53615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361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NEOMA-BS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1</cp:revision>
  <dcterms:created xsi:type="dcterms:W3CDTF">2025-07-13T19:59:00Z</dcterms:created>
  <dcterms:modified xsi:type="dcterms:W3CDTF">2025-07-13T20:00:00Z</dcterms:modified>
</cp:coreProperties>
</file>