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868680" cy="868680"/>
            <wp:docPr id="1" name="Picture 1"/>
            <wp:cNvGraphicFramePr>
              <a:graphicFrameLocks noChangeAspect="1"/>
            </wp:cNvGraphicFramePr>
            <a:graphic>
              <a:graphicData uri="http://schemas.openxmlformats.org/drawingml/2006/picture">
                <pic:pic>
                  <pic:nvPicPr>
                    <pic:cNvPr id="0" name="mark.png"/>
                    <pic:cNvPicPr/>
                  </pic:nvPicPr>
                  <pic:blipFill>
                    <a:blip r:embed="rId10"/>
                    <a:stretch>
                      <a:fillRect/>
                    </a:stretch>
                  </pic:blipFill>
                  <pic:spPr>
                    <a:xfrm>
                      <a:off x="0" y="0"/>
                      <a:ext cx="868680" cy="868680"/>
                    </a:xfrm>
                    <a:prstGeom prst="rect"/>
                  </pic:spPr>
                </pic:pic>
              </a:graphicData>
            </a:graphic>
          </wp:inline>
        </w:drawing>
      </w:r>
    </w:p>
    <w:p>
      <w:pPr>
        <w:spacing w:after="200"/>
      </w:pPr>
    </w:p>
    <w:tbl>
      <w:tblPr>
        <w:tblW w:type="auto" w:w="0"/>
        <w:jc w:val="center"/>
        <w:tblLook w:firstColumn="1" w:firstRow="1" w:lastColumn="0" w:lastRow="0" w:noHBand="0" w:noVBand="1" w:val="04A0"/>
      </w:tblPr>
      <w:tblGrid>
        <w:gridCol w:w="9360"/>
      </w:tblGrid>
      <w:tr>
        <w:tc>
          <w:tcPr>
            <w:tcW w:type="dxa" w:w="9360"/>
            <w:shd w:val="clear" w:color="auto" w:fill="1B4332"/>
            <w:tcMar>
              <w:top w:w="220" w:type="dxa"/>
              <w:bottom w:w="220" w:type="dxa"/>
              <w:start w:w="200" w:type="dxa"/>
              <w:end w:w="200" w:type="dxa"/>
            </w:tcMar>
          </w:tcPr>
          <w:p>
            <w:pPr>
              <w:bidi/>
              <w:spacing w:after="80"/>
              <w:jc w:val="right"/>
            </w:pPr>
            <w:r>
              <w:rPr>
                <w:rFonts w:ascii="IBM Plex Sans Arabic" w:hAnsi="IBM Plex Sans Arabic" w:cs="IBM Plex Sans Arabic"/>
                <w:b/>
                <w:color w:val="F9F6EF"/>
                <w:sz w:val="46"/>
                <w:szCs w:val="46"/>
                <w:rtl/>
              </w:rPr>
              <w:t>منصّة دمشق ترانزيت لإدارة أساطيل النقل العام</w:t>
            </w:r>
          </w:p>
          <w:p>
            <w:pPr>
              <w:spacing w:before="0"/>
            </w:pPr>
            <w:r>
              <w:rPr>
                <w:rFonts w:ascii="IBM Plex Sans" w:hAnsi="IBM Plex Sans" w:cs="IBM Plex Sans"/>
                <w:b/>
                <w:color w:val="C4B47E"/>
                <w:sz w:val="36"/>
                <w:szCs w:val="36"/>
              </w:rPr>
              <w:t>The DAM Public-Transport Fleet Platform</w:t>
            </w:r>
          </w:p>
        </w:tc>
      </w:tr>
    </w:tbl>
    <w:p>
      <w:pPr>
        <w:spacing w:before="280"/>
        <w:bidi/>
        <w:jc w:val="right"/>
      </w:pPr>
      <w:r>
        <w:rPr>
          <w:rFonts w:ascii="IBM Plex Sans Arabic" w:hAnsi="IBM Plex Sans Arabic" w:cs="IBM Plex Sans Arabic"/>
          <w:b w:val="0"/>
          <w:color w:val="7A7060"/>
          <w:sz w:val="25"/>
          <w:szCs w:val="25"/>
          <w:rtl/>
        </w:rPr>
        <w:t>عقد برنامج تجريبي مدّته 6 أشهر — مرجع المقترح DAM-MOT-2026-001</w:t>
      </w:r>
    </w:p>
    <w:p>
      <w:pPr>
        <w:spacing w:after="40"/>
      </w:pPr>
      <w:r>
        <w:rPr>
          <w:rFonts w:ascii="IBM Plex Sans" w:hAnsi="IBM Plex Sans" w:cs="IBM Plex Sans"/>
          <w:b w:val="0"/>
          <w:color w:val="7A7060"/>
          <w:sz w:val="22"/>
          <w:szCs w:val="22"/>
        </w:rPr>
        <w:t>6-month pilot program — Proposal ref. DAM-MOT-2026-001</w:t>
      </w:r>
    </w:p>
    <w:p>
      <w:pPr>
        <w:spacing w:before="40" w:after="120"/>
        <w:pBdr>
          <w:bottom w:val="single" w:sz="12" w:space="1" w:color="C4B47E"/>
        </w:pBdr>
      </w:pPr>
    </w:p>
    <w:p>
      <w:pPr>
        <w:bidi/>
        <w:jc w:val="right"/>
      </w:pPr>
      <w:r>
        <w:rPr>
          <w:rFonts w:ascii="IBM Plex Sans Arabic" w:hAnsi="IBM Plex Sans Arabic" w:cs="IBM Plex Sans Arabic"/>
          <w:b/>
          <w:color w:val="1B4332"/>
          <w:sz w:val="22"/>
          <w:szCs w:val="22"/>
          <w:rtl/>
        </w:rPr>
        <w:t>مقترح إلى وزارة النقل</w:t>
      </w:r>
    </w:p>
    <w:p>
      <w:r>
        <w:rPr>
          <w:rFonts w:ascii="IBM Plex Sans" w:hAnsi="IBM Plex Sans" w:cs="IBM Plex Sans"/>
          <w:b w:val="0"/>
          <w:color w:val="7A7060"/>
          <w:sz w:val="20"/>
          <w:szCs w:val="20"/>
        </w:rPr>
        <w:t>Proposal to the Ministry of Transport   ·   June 2026</w:t>
      </w:r>
    </w:p>
    <w:p>
      <w:pPr>
        <w:spacing w:before="40"/>
      </w:pPr>
      <w:r>
        <w:rPr>
          <w:rFonts w:ascii="IBM Plex Sans" w:hAnsi="IBM Plex Sans" w:cs="IBM Plex Sans"/>
          <w:b w:val="0"/>
          <w:color w:val="7A7060"/>
          <w:sz w:val="18"/>
          <w:szCs w:val="18"/>
        </w:rPr>
        <w:t>سرّي — لاستخدام وزارة النقل   ·   Confidential — For Ministry of Transport use</w:t>
      </w:r>
    </w:p>
    <w:p>
      <w:r>
        <w:br w:type="page"/>
      </w:r>
    </w:p>
    <w:p>
      <w:pPr>
        <w:bidi/>
        <w:spacing w:before="240" w:after="0"/>
        <w:jc w:val="right"/>
      </w:pPr>
      <w:r>
        <w:rPr>
          <w:rFonts w:ascii="IBM Plex Sans Arabic" w:hAnsi="IBM Plex Sans Arabic" w:cs="IBM Plex Sans Arabic"/>
          <w:b/>
          <w:color w:val="1B4332"/>
          <w:sz w:val="34"/>
          <w:szCs w:val="34"/>
          <w:rtl/>
        </w:rPr>
        <w:t>الملخّص التنفيذي</w:t>
      </w:r>
    </w:p>
    <w:p>
      <w:pPr>
        <w:spacing w:before="0" w:after="100"/>
      </w:pPr>
      <w:r>
        <w:rPr>
          <w:rFonts w:ascii="IBM Plex Sans" w:hAnsi="IBM Plex Sans" w:cs="IBM Plex Sans"/>
          <w:b/>
          <w:color w:val="1B4332"/>
          <w:sz w:val="30"/>
          <w:szCs w:val="30"/>
        </w:rPr>
        <w:t>Executive Summary</w:t>
      </w:r>
    </w:p>
    <w:p>
      <w:pPr>
        <w:bidi/>
        <w:spacing w:after="20" w:before="0"/>
        <w:jc w:val="right"/>
      </w:pPr>
      <w:r>
        <w:rPr>
          <w:rFonts w:ascii="IBM Plex Sans Arabic" w:hAnsi="IBM Plex Sans Arabic" w:cs="IBM Plex Sans Arabic"/>
          <w:b w:val="0"/>
          <w:color w:val="0D1B2A"/>
          <w:sz w:val="22"/>
          <w:szCs w:val="22"/>
          <w:rtl/>
        </w:rPr>
        <w:t>دمشق ترانزيت هي أوّل منصّة سورية عاملة لإدارة أساطيل النقل العام بالتتبّع اللحظي عبر GPS. نقترح برنامجاً تجريبياً مدّته ستة أشهر على 50 مركبة وثلاثة مسارات في دمشق مقابل 500 دولار شهرياً (إجمالي 3,000 دولار). المنصّة جاهزة وتعمل اليوم، ونطلب عقد نشر لا تمويل تطوير.</w:t>
      </w:r>
    </w:p>
    <w:p>
      <w:pPr>
        <w:spacing w:after="180" w:before="0"/>
      </w:pPr>
      <w:r>
        <w:rPr>
          <w:rFonts w:ascii="IBM Plex Sans" w:hAnsi="IBM Plex Sans" w:cs="IBM Plex Sans"/>
          <w:b w:val="0"/>
          <w:color w:val="333333"/>
          <w:sz w:val="21"/>
          <w:szCs w:val="21"/>
        </w:rPr>
        <w:t>DAM is Syria's first working real-time GPS fleet-management platform for public transport. We propose a six-month pilot on 50 vehicles across three Damascus routes at USD 500/month (USD 3,000 total). The platform is built and live today — we are seeking a deployment contract, not R&amp;D funding.</w:t>
      </w:r>
    </w:p>
    <w:p>
      <w:pPr>
        <w:bidi/>
        <w:spacing w:after="20" w:before="0"/>
        <w:jc w:val="right"/>
      </w:pPr>
      <w:r>
        <w:rPr>
          <w:rFonts w:ascii="IBM Plex Sans Arabic" w:hAnsi="IBM Plex Sans Arabic" w:cs="IBM Plex Sans Arabic"/>
          <w:b w:val="0"/>
          <w:color w:val="0D1B2A"/>
          <w:sz w:val="22"/>
          <w:szCs w:val="22"/>
          <w:rtl/>
        </w:rPr>
        <w:t>تستثمر الوزارة 3,000 دولار لتحصل على وفورات تشغيلية مباشرة تُقدَّر بـ 33,000–43,000 دولار سنوياً، وعلى أوّل لوحة بيانات للنقل في تاريخها، وعلى أهليّة للحصول على تمويل دولي يتراوح بين 149,000 و530,000 دولار.</w:t>
      </w:r>
    </w:p>
    <w:p>
      <w:pPr>
        <w:spacing w:after="180" w:before="0"/>
      </w:pPr>
      <w:r>
        <w:rPr>
          <w:rFonts w:ascii="IBM Plex Sans" w:hAnsi="IBM Plex Sans" w:cs="IBM Plex Sans"/>
          <w:b w:val="0"/>
          <w:color w:val="333333"/>
          <w:sz w:val="21"/>
          <w:szCs w:val="21"/>
        </w:rPr>
        <w:t>For USD 3,000 the Ministry gains an estimated USD 33,000–43,000 in direct annual operational savings, its first-ever transit data dashboard, and eligibility for USD 149,000–530,000 in international grant funding.</w:t>
      </w:r>
    </w:p>
    <w:p>
      <w:pPr>
        <w:bidi/>
        <w:spacing w:before="240" w:after="0"/>
        <w:jc w:val="right"/>
      </w:pPr>
      <w:r>
        <w:rPr>
          <w:rFonts w:ascii="IBM Plex Sans Arabic" w:hAnsi="IBM Plex Sans Arabic" w:cs="IBM Plex Sans Arabic"/>
          <w:b/>
          <w:color w:val="1B4332"/>
          <w:sz w:val="34"/>
          <w:szCs w:val="34"/>
          <w:rtl/>
        </w:rPr>
        <w:t>عن دمشق ترانزيت</w:t>
      </w:r>
    </w:p>
    <w:p>
      <w:pPr>
        <w:spacing w:before="0" w:after="100"/>
      </w:pPr>
      <w:r>
        <w:rPr>
          <w:rFonts w:ascii="IBM Plex Sans" w:hAnsi="IBM Plex Sans" w:cs="IBM Plex Sans"/>
          <w:b/>
          <w:color w:val="1B4332"/>
          <w:sz w:val="30"/>
          <w:szCs w:val="30"/>
        </w:rPr>
        <w:t>About Damascus Transit Technologies</w:t>
      </w:r>
    </w:p>
    <w:p>
      <w:pPr>
        <w:bidi/>
        <w:spacing w:after="20" w:before="0"/>
        <w:jc w:val="right"/>
      </w:pPr>
      <w:r>
        <w:rPr>
          <w:rFonts w:ascii="IBM Plex Sans Arabic" w:hAnsi="IBM Plex Sans Arabic" w:cs="IBM Plex Sans Arabic"/>
          <w:b w:val="0"/>
          <w:color w:val="0D1B2A"/>
          <w:sz w:val="22"/>
          <w:szCs w:val="22"/>
          <w:rtl/>
        </w:rPr>
        <w:t>شركة سورية مقرّها دمشق، منصّتها مفتوحة المصدر وبيانات النقل تبقى داخل سورية. الواجهة عربية أولاً مع الإنجليزية، والفريق محلّي وقادر على الحضور إلى مكتب الوزارة خلال 30 دقيقة.</w:t>
      </w:r>
    </w:p>
    <w:p>
      <w:pPr>
        <w:spacing w:after="180" w:before="0"/>
      </w:pPr>
      <w:r>
        <w:rPr>
          <w:rFonts w:ascii="IBM Plex Sans" w:hAnsi="IBM Plex Sans" w:cs="IBM Plex Sans"/>
          <w:b w:val="0"/>
          <w:color w:val="333333"/>
          <w:sz w:val="21"/>
          <w:szCs w:val="21"/>
        </w:rPr>
        <w:t>A Damascus-based Syrian company. The platform is open-source and transit data stays inside Syria. The interface is Arabic-first with English, and the team is local — able to be at the Ministry's office within 30 minutes.</w:t>
      </w:r>
    </w:p>
    <w:p>
      <w:pPr>
        <w:bidi/>
        <w:spacing w:before="240" w:after="0"/>
        <w:jc w:val="right"/>
      </w:pPr>
      <w:r>
        <w:rPr>
          <w:rFonts w:ascii="IBM Plex Sans Arabic" w:hAnsi="IBM Plex Sans Arabic" w:cs="IBM Plex Sans Arabic"/>
          <w:b/>
          <w:color w:val="1B4332"/>
          <w:sz w:val="34"/>
          <w:szCs w:val="34"/>
          <w:rtl/>
        </w:rPr>
        <w:t>المشكلة والفرصة</w:t>
      </w:r>
    </w:p>
    <w:p>
      <w:pPr>
        <w:spacing w:before="0" w:after="100"/>
      </w:pPr>
      <w:r>
        <w:rPr>
          <w:rFonts w:ascii="IBM Plex Sans" w:hAnsi="IBM Plex Sans" w:cs="IBM Plex Sans"/>
          <w:b/>
          <w:color w:val="1B4332"/>
          <w:sz w:val="30"/>
          <w:szCs w:val="30"/>
        </w:rPr>
        <w:t>The Problem &amp; the Opportunity</w:t>
      </w:r>
    </w:p>
    <w:tbl>
      <w:tblPr>
        <w:tblW w:type="auto" w:w="0"/>
        <w:jc w:val="center"/>
        <w:tblLook w:firstColumn="1" w:firstRow="1" w:lastColumn="0" w:lastRow="0" w:noHBand="0" w:noVBand="1" w:val="04A0"/>
        <w:tblBorders>
          <w:top w:val="single" w:sz="4" w:space="0" w:color="D8D8D0"/>
          <w:left w:val="single" w:sz="4" w:space="0" w:color="D8D8D0"/>
          <w:bottom w:val="single" w:sz="4" w:space="0" w:color="D8D8D0"/>
          <w:right w:val="single" w:sz="4" w:space="0" w:color="D8D8D0"/>
          <w:insideH w:val="single" w:sz="4" w:space="0" w:color="D8D8D0"/>
          <w:insideV w:val="single" w:sz="4" w:space="0" w:color="D8D8D0"/>
        </w:tblBorders>
      </w:tblPr>
      <w:tblGrid>
        <w:gridCol w:w="4680"/>
        <w:gridCol w:w="4680"/>
      </w:tblGrid>
      <w:tr>
        <w:tc>
          <w:tcPr>
            <w:tcW w:type="dxa" w:w="5803"/>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المؤشّر</w:t>
            </w:r>
            <w:r>
              <w:br/>
            </w:r>
            <w:r>
              <w:rPr>
                <w:rFonts w:ascii="IBM Plex Sans" w:hAnsi="IBM Plex Sans" w:cs="IBM Plex Sans"/>
                <w:b/>
                <w:color w:val="F9F6EF"/>
                <w:sz w:val="19"/>
                <w:szCs w:val="19"/>
              </w:rPr>
              <w:t>Indicator</w:t>
            </w:r>
          </w:p>
        </w:tc>
        <w:tc>
          <w:tcPr>
            <w:tcW w:type="dxa" w:w="3556"/>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القيمة</w:t>
            </w:r>
            <w:r>
              <w:br/>
            </w:r>
            <w:r>
              <w:rPr>
                <w:rFonts w:ascii="IBM Plex Sans" w:hAnsi="IBM Plex Sans" w:cs="IBM Plex Sans"/>
                <w:b/>
                <w:color w:val="F9F6EF"/>
                <w:sz w:val="19"/>
                <w:szCs w:val="19"/>
              </w:rPr>
              <w:t>Value</w:t>
            </w:r>
          </w:p>
        </w:tc>
      </w:tr>
      <w:tr>
        <w:tc>
          <w:tcPr>
            <w:tcW w:type="dxa" w:w="5803"/>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ركّاب النقل العام يومياً / Daily public-transit commuters</w:t>
            </w:r>
          </w:p>
        </w:tc>
        <w:tc>
          <w:tcPr>
            <w:tcW w:type="dxa" w:w="3556"/>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2.5 مليون / 2.5 million</w:t>
            </w:r>
          </w:p>
        </w:tc>
      </w:tr>
      <w:tr>
        <w:tc>
          <w:tcPr>
            <w:tcW w:type="dxa" w:w="5803"/>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مركبات النقل العام / Public-transit vehicles</w:t>
            </w:r>
          </w:p>
        </w:tc>
        <w:tc>
          <w:tcPr>
            <w:tcW w:type="dxa" w:w="3556"/>
            <w:tcMar>
              <w:top w:w="60" w:type="dxa"/>
              <w:bottom w:w="60" w:type="dxa"/>
              <w:start w:w="110" w:type="dxa"/>
              <w:end w:w="110" w:type="dxa"/>
            </w:tcMar>
            <w:shd w:val="clear" w:color="auto" w:fill="E7ECE8"/>
          </w:tcPr>
          <w:p>
            <w:r>
              <w:rPr>
                <w:rFonts w:ascii="IBM Plex Sans" w:hAnsi="IBM Plex Sans" w:cs="IBM Plex Sans"/>
                <w:b w:val="0"/>
                <w:color w:val="222222"/>
                <w:sz w:val="19"/>
                <w:szCs w:val="19"/>
              </w:rPr>
              <w:t>~6,000</w:t>
            </w:r>
          </w:p>
        </w:tc>
      </w:tr>
      <w:tr>
        <w:tc>
          <w:tcPr>
            <w:tcW w:type="dxa" w:w="5803"/>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المشغّلون الخاصّون / Private operators</w:t>
            </w:r>
          </w:p>
        </w:tc>
        <w:tc>
          <w:tcPr>
            <w:tcW w:type="dxa" w:w="3556"/>
            <w:tcMar>
              <w:top w:w="60" w:type="dxa"/>
              <w:bottom w:w="60" w:type="dxa"/>
              <w:start w:w="110" w:type="dxa"/>
              <w:end w:w="110" w:type="dxa"/>
            </w:tcMar>
          </w:tcPr>
          <w:p>
            <w:r>
              <w:rPr>
                <w:rFonts w:ascii="IBM Plex Sans" w:hAnsi="IBM Plex Sans" w:cs="IBM Plex Sans"/>
                <w:b w:val="0"/>
                <w:color w:val="222222"/>
                <w:sz w:val="19"/>
                <w:szCs w:val="19"/>
              </w:rPr>
              <w:t>200+</w:t>
            </w:r>
          </w:p>
        </w:tc>
      </w:tr>
      <w:tr>
        <w:tc>
          <w:tcPr>
            <w:tcW w:type="dxa" w:w="5803"/>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متوسّط زمن الانتظار / Average wait time</w:t>
            </w:r>
          </w:p>
        </w:tc>
        <w:tc>
          <w:tcPr>
            <w:tcW w:type="dxa" w:w="3556"/>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45 دقيقة / 45 minutes</w:t>
            </w:r>
          </w:p>
        </w:tc>
      </w:tr>
      <w:tr>
        <w:tc>
          <w:tcPr>
            <w:tcW w:type="dxa" w:w="5803"/>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الإنفاق الرقمي الحالي على إدارة الأسطول / Spent on digital fleet mgmt today</w:t>
            </w:r>
          </w:p>
        </w:tc>
        <w:tc>
          <w:tcPr>
            <w:tcW w:type="dxa" w:w="3556"/>
            <w:tcMar>
              <w:top w:w="60" w:type="dxa"/>
              <w:bottom w:w="60" w:type="dxa"/>
              <w:start w:w="110" w:type="dxa"/>
              <w:end w:w="110" w:type="dxa"/>
            </w:tcMar>
          </w:tcPr>
          <w:p>
            <w:r>
              <w:rPr>
                <w:rFonts w:ascii="IBM Plex Sans" w:hAnsi="IBM Plex Sans" w:cs="IBM Plex Sans"/>
                <w:b w:val="0"/>
                <w:color w:val="222222"/>
                <w:sz w:val="19"/>
                <w:szCs w:val="19"/>
              </w:rPr>
              <w:t>$0</w:t>
            </w:r>
          </w:p>
        </w:tc>
      </w:tr>
    </w:tbl>
    <w:p>
      <w:pPr>
        <w:spacing w:after="160" w:before="0"/>
      </w:pPr>
      <w:r>
        <w:rPr>
          <w:rFonts w:ascii="IBM Plex Sans" w:hAnsi="IBM Plex Sans" w:cs="IBM Plex Sans"/>
          <w:b w:val="0"/>
          <w:color w:val="333333"/>
          <w:sz w:val="21"/>
          <w:szCs w:val="21"/>
        </w:rPr>
      </w:r>
    </w:p>
    <w:p>
      <w:pPr>
        <w:bidi/>
        <w:spacing w:after="20" w:before="0"/>
        <w:jc w:val="right"/>
      </w:pPr>
      <w:r>
        <w:rPr>
          <w:rFonts w:ascii="IBM Plex Sans Arabic" w:hAnsi="IBM Plex Sans Arabic" w:cs="IBM Plex Sans Arabic"/>
          <w:b w:val="0"/>
          <w:color w:val="0D1B2A"/>
          <w:sz w:val="22"/>
          <w:szCs w:val="22"/>
          <w:rtl/>
        </w:rPr>
        <w:t>النافذة مواتية: رُفعت العقوبات الأمريكية والأوروبية في 2025 وأُلغي قانون قيصر في ديسمبر 2025؛ وخصّص البنك الدولي 50 مليون دولار لقطاع النقل في سورية؛ وتغطية الجيل الرابع مستقرّة في دمشق.</w:t>
      </w:r>
    </w:p>
    <w:p>
      <w:pPr>
        <w:spacing w:after="180" w:before="0"/>
      </w:pPr>
      <w:r>
        <w:rPr>
          <w:rFonts w:ascii="IBM Plex Sans" w:hAnsi="IBM Plex Sans" w:cs="IBM Plex Sans"/>
          <w:b w:val="0"/>
          <w:color w:val="333333"/>
          <w:sz w:val="21"/>
          <w:szCs w:val="21"/>
        </w:rPr>
        <w:t>The window is open: US &amp; EU sanctions were lifted in 2025 and the Caesar Act repealed in December 2025; the World Bank allocated USD 50M to Syria's transport sector; and 4G coverage is stable across Damascus.</w:t>
      </w:r>
    </w:p>
    <w:p>
      <w:pPr>
        <w:bidi/>
        <w:spacing w:before="240" w:after="0"/>
        <w:jc w:val="right"/>
      </w:pPr>
      <w:r>
        <w:rPr>
          <w:rFonts w:ascii="IBM Plex Sans Arabic" w:hAnsi="IBM Plex Sans Arabic" w:cs="IBM Plex Sans Arabic"/>
          <w:b/>
          <w:color w:val="1B4332"/>
          <w:sz w:val="34"/>
          <w:szCs w:val="34"/>
          <w:rtl/>
        </w:rPr>
        <w:t>الحل وكيفية عمله</w:t>
      </w:r>
    </w:p>
    <w:p>
      <w:pPr>
        <w:spacing w:before="0" w:after="100"/>
      </w:pPr>
      <w:r>
        <w:rPr>
          <w:rFonts w:ascii="IBM Plex Sans" w:hAnsi="IBM Plex Sans" w:cs="IBM Plex Sans"/>
          <w:b/>
          <w:color w:val="1B4332"/>
          <w:sz w:val="30"/>
          <w:szCs w:val="30"/>
        </w:rPr>
        <w:t>The Solution &amp; How It Works</w:t>
      </w:r>
    </w:p>
    <w:p>
      <w:pPr>
        <w:bidi/>
        <w:spacing w:after="20" w:before="0"/>
        <w:jc w:val="right"/>
      </w:pPr>
      <w:r>
        <w:rPr>
          <w:rFonts w:ascii="IBM Plex Sans Arabic" w:hAnsi="IBM Plex Sans Arabic" w:cs="IBM Plex Sans Arabic"/>
          <w:b w:val="0"/>
          <w:color w:val="0D1B2A"/>
          <w:sz w:val="22"/>
          <w:szCs w:val="22"/>
          <w:rtl/>
        </w:rPr>
        <w:t>ترسل كل مركبة موقعها إلى الخادم، الذي يحدّثه على الخريطة الحيّة (عبر ذاكرة Redis) ويخزّنه للتحليلات (قاعدة بيانات زمنية). تتّصل تطبيقات الركّاب والوزارة بالخادم — لا بقاعدة البيانات مباشرة — لضمان الأمان.</w:t>
      </w:r>
    </w:p>
    <w:p>
      <w:pPr>
        <w:spacing w:after="180" w:before="0"/>
      </w:pPr>
      <w:r>
        <w:rPr>
          <w:rFonts w:ascii="IBM Plex Sans" w:hAnsi="IBM Plex Sans" w:cs="IBM Plex Sans"/>
          <w:b w:val="0"/>
          <w:color w:val="333333"/>
          <w:sz w:val="21"/>
          <w:szCs w:val="21"/>
        </w:rPr>
        <w:t>Each vehicle sends its position to the backend, which updates the live map (via a Redis cache) and stores it for analytics (a time-series database). Passenger and Ministry apps connect to the backend — never directly to the database — for security.</w:t>
      </w:r>
    </w:p>
    <w:p>
      <w:pPr>
        <w:bidi/>
        <w:spacing w:before="180" w:after="0"/>
        <w:jc w:val="right"/>
      </w:pPr>
      <w:r>
        <w:rPr>
          <w:rFonts w:ascii="IBM Plex Sans Arabic" w:hAnsi="IBM Plex Sans Arabic" w:cs="IBM Plex Sans Arabic"/>
          <w:b/>
          <w:color w:val="1B4332"/>
          <w:sz w:val="28"/>
          <w:szCs w:val="28"/>
          <w:rtl/>
        </w:rPr>
        <w:t>طريقتان للتتبّع</w:t>
      </w:r>
    </w:p>
    <w:p>
      <w:pPr>
        <w:spacing w:before="0" w:after="100"/>
      </w:pPr>
      <w:r>
        <w:rPr>
          <w:rFonts w:ascii="IBM Plex Sans" w:hAnsi="IBM Plex Sans" w:cs="IBM Plex Sans"/>
          <w:b/>
          <w:color w:val="1B4332"/>
          <w:sz w:val="25"/>
          <w:szCs w:val="25"/>
        </w:rPr>
        <w:t>Two Tracking Methods</w:t>
      </w:r>
    </w:p>
    <w:tbl>
      <w:tblPr>
        <w:tblW w:type="auto" w:w="0"/>
        <w:jc w:val="center"/>
        <w:tblLook w:firstColumn="1" w:firstRow="1" w:lastColumn="0" w:lastRow="0" w:noHBand="0" w:noVBand="1" w:val="04A0"/>
        <w:tblBorders>
          <w:top w:val="single" w:sz="4" w:space="0" w:color="D8D8D0"/>
          <w:left w:val="single" w:sz="4" w:space="0" w:color="D8D8D0"/>
          <w:bottom w:val="single" w:sz="4" w:space="0" w:color="D8D8D0"/>
          <w:right w:val="single" w:sz="4" w:space="0" w:color="D8D8D0"/>
          <w:insideH w:val="single" w:sz="4" w:space="0" w:color="D8D8D0"/>
          <w:insideV w:val="single" w:sz="4" w:space="0" w:color="D8D8D0"/>
        </w:tblBorders>
      </w:tblPr>
      <w:tblGrid>
        <w:gridCol w:w="3120"/>
        <w:gridCol w:w="3120"/>
        <w:gridCol w:w="3120"/>
      </w:tblGrid>
      <w:tr>
        <w:tc>
          <w:tcPr>
            <w:tcW w:type="dxa" w:w="3182"/>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الطريقة</w:t>
            </w:r>
            <w:r>
              <w:br/>
            </w:r>
            <w:r>
              <w:rPr>
                <w:rFonts w:ascii="IBM Plex Sans" w:hAnsi="IBM Plex Sans" w:cs="IBM Plex Sans"/>
                <w:b/>
                <w:color w:val="F9F6EF"/>
                <w:sz w:val="19"/>
                <w:szCs w:val="19"/>
              </w:rPr>
              <w:t>Method</w:t>
            </w:r>
          </w:p>
        </w:tc>
        <w:tc>
          <w:tcPr>
            <w:tcW w:type="dxa" w:w="3744"/>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الوصف</w:t>
            </w:r>
            <w:r>
              <w:br/>
            </w:r>
            <w:r>
              <w:rPr>
                <w:rFonts w:ascii="IBM Plex Sans" w:hAnsi="IBM Plex Sans" w:cs="IBM Plex Sans"/>
                <w:b/>
                <w:color w:val="F9F6EF"/>
                <w:sz w:val="19"/>
                <w:szCs w:val="19"/>
              </w:rPr>
              <w:t>Description</w:t>
            </w:r>
          </w:p>
        </w:tc>
        <w:tc>
          <w:tcPr>
            <w:tcW w:type="dxa" w:w="2433"/>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الأنسب لـ</w:t>
            </w:r>
            <w:r>
              <w:br/>
            </w:r>
            <w:r>
              <w:rPr>
                <w:rFonts w:ascii="IBM Plex Sans" w:hAnsi="IBM Plex Sans" w:cs="IBM Plex Sans"/>
                <w:b/>
                <w:color w:val="F9F6EF"/>
                <w:sz w:val="19"/>
                <w:szCs w:val="19"/>
              </w:rPr>
              <w:t>Best for</w:t>
            </w:r>
          </w:p>
        </w:tc>
      </w:tr>
      <w:tr>
        <w:tc>
          <w:tcPr>
            <w:tcW w:type="dxa" w:w="3182"/>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وحدة GPS مخصّصة (أساسية) / Custom GPS unit (primary)</w:t>
            </w:r>
          </w:p>
        </w:tc>
        <w:tc>
          <w:tcPr>
            <w:tcW w:type="dxa" w:w="3744"/>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تُركَّب في المركبة وتعمل دون هاتف ذكي / Installed in the vehicle; works with no smartphone</w:t>
            </w:r>
          </w:p>
        </w:tc>
        <w:tc>
          <w:tcPr>
            <w:tcW w:type="dxa" w:w="2433"/>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الباصات والميكروباصات / Buses &amp; microbuses</w:t>
            </w:r>
          </w:p>
        </w:tc>
      </w:tr>
      <w:tr>
        <w:tc>
          <w:tcPr>
            <w:tcW w:type="dxa" w:w="3182"/>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تطبيق هاتف السائق / Driver smartphone app</w:t>
            </w:r>
          </w:p>
        </w:tc>
        <w:tc>
          <w:tcPr>
            <w:tcW w:type="dxa" w:w="3744"/>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يرسل الموقع عبر هاتف السائق / Sends location via the driver's phone</w:t>
            </w:r>
          </w:p>
        </w:tc>
        <w:tc>
          <w:tcPr>
            <w:tcW w:type="dxa" w:w="2433"/>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حيث تتوفّر هواتف ذكية / Where drivers have phones</w:t>
            </w:r>
          </w:p>
        </w:tc>
      </w:tr>
    </w:tbl>
    <w:p>
      <w:pPr>
        <w:spacing w:after="160" w:before="0"/>
      </w:pPr>
      <w:r>
        <w:rPr>
          <w:rFonts w:ascii="IBM Plex Sans" w:hAnsi="IBM Plex Sans" w:cs="IBM Plex Sans"/>
          <w:b w:val="0"/>
          <w:color w:val="333333"/>
          <w:sz w:val="21"/>
          <w:szCs w:val="21"/>
        </w:rPr>
      </w:r>
    </w:p>
    <w:p>
      <w:pPr>
        <w:bidi/>
        <w:spacing w:after="20" w:before="0"/>
        <w:jc w:val="right"/>
      </w:pPr>
      <w:r>
        <w:rPr>
          <w:rFonts w:ascii="IBM Plex Sans Arabic" w:hAnsi="IBM Plex Sans Arabic" w:cs="IBM Plex Sans Arabic"/>
          <w:b w:val="0"/>
          <w:color w:val="0D1B2A"/>
          <w:sz w:val="22"/>
          <w:szCs w:val="22"/>
          <w:rtl/>
        </w:rPr>
        <w:t>بما أنّ كثيراً من الباصات والميكروباصات في سورية بلا هواتف ذكية، فإنّ الوحدة المخصّصة هي الأساس والتطبيق مكمّل لها.</w:t>
      </w:r>
    </w:p>
    <w:p>
      <w:pPr>
        <w:spacing w:after="180" w:before="0"/>
      </w:pPr>
      <w:r>
        <w:rPr>
          <w:rFonts w:ascii="IBM Plex Sans" w:hAnsi="IBM Plex Sans" w:cs="IBM Plex Sans"/>
          <w:b w:val="0"/>
          <w:color w:val="333333"/>
          <w:sz w:val="21"/>
          <w:szCs w:val="21"/>
        </w:rPr>
        <w:t>Because many Syrian buses and microbuses have no smartphones, the custom unit is the backbone and the app complements it.</w:t>
      </w:r>
    </w:p>
    <w:p>
      <w:r>
        <w:br w:type="page"/>
      </w:r>
    </w:p>
    <w:p>
      <w:pPr>
        <w:bidi/>
        <w:spacing w:before="240" w:after="0"/>
        <w:jc w:val="right"/>
      </w:pPr>
      <w:r>
        <w:rPr>
          <w:rFonts w:ascii="IBM Plex Sans Arabic" w:hAnsi="IBM Plex Sans Arabic" w:cs="IBM Plex Sans Arabic"/>
          <w:b/>
          <w:color w:val="1B4332"/>
          <w:sz w:val="34"/>
          <w:szCs w:val="34"/>
          <w:rtl/>
        </w:rPr>
        <w:t>عرض البرنامج التجريبي</w:t>
      </w:r>
    </w:p>
    <w:p>
      <w:pPr>
        <w:spacing w:before="0" w:after="100"/>
      </w:pPr>
      <w:r>
        <w:rPr>
          <w:rFonts w:ascii="IBM Plex Sans" w:hAnsi="IBM Plex Sans" w:cs="IBM Plex Sans"/>
          <w:b/>
          <w:color w:val="1B4332"/>
          <w:sz w:val="30"/>
          <w:szCs w:val="30"/>
        </w:rPr>
        <w:t>The Pilot Offer</w:t>
      </w:r>
    </w:p>
    <w:tbl>
      <w:tblPr>
        <w:tblW w:type="auto" w:w="0"/>
        <w:jc w:val="center"/>
        <w:tblLook w:firstColumn="1" w:firstRow="1" w:lastColumn="0" w:lastRow="0" w:noHBand="0" w:noVBand="1" w:val="04A0"/>
        <w:tblBorders>
          <w:top w:val="single" w:sz="4" w:space="0" w:color="D8D8D0"/>
          <w:left w:val="single" w:sz="4" w:space="0" w:color="D8D8D0"/>
          <w:bottom w:val="single" w:sz="4" w:space="0" w:color="D8D8D0"/>
          <w:right w:val="single" w:sz="4" w:space="0" w:color="D8D8D0"/>
          <w:insideH w:val="single" w:sz="4" w:space="0" w:color="D8D8D0"/>
          <w:insideV w:val="single" w:sz="4" w:space="0" w:color="D8D8D0"/>
        </w:tblBorders>
      </w:tblPr>
      <w:tblGrid>
        <w:gridCol w:w="4680"/>
        <w:gridCol w:w="4680"/>
      </w:tblGrid>
      <w:tr>
        <w:tc>
          <w:tcPr>
            <w:tcW w:type="dxa" w:w="4305"/>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البند</w:t>
            </w:r>
            <w:r>
              <w:br/>
            </w:r>
            <w:r>
              <w:rPr>
                <w:rFonts w:ascii="IBM Plex Sans" w:hAnsi="IBM Plex Sans" w:cs="IBM Plex Sans"/>
                <w:b/>
                <w:color w:val="F9F6EF"/>
                <w:sz w:val="19"/>
                <w:szCs w:val="19"/>
              </w:rPr>
              <w:t>Term</w:t>
            </w:r>
          </w:p>
        </w:tc>
        <w:tc>
          <w:tcPr>
            <w:tcW w:type="dxa" w:w="5054"/>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التفصيل</w:t>
            </w:r>
            <w:r>
              <w:br/>
            </w:r>
            <w:r>
              <w:rPr>
                <w:rFonts w:ascii="IBM Plex Sans" w:hAnsi="IBM Plex Sans" w:cs="IBM Plex Sans"/>
                <w:b/>
                <w:color w:val="F9F6EF"/>
                <w:sz w:val="19"/>
                <w:szCs w:val="19"/>
              </w:rPr>
              <w:t>Detail</w:t>
            </w:r>
          </w:p>
        </w:tc>
      </w:tr>
      <w:tr>
        <w:tc>
          <w:tcPr>
            <w:tcW w:type="dxa" w:w="4305"/>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نوع الاتفاق / Agreement</w:t>
            </w:r>
          </w:p>
        </w:tc>
        <w:tc>
          <w:tcPr>
            <w:tcW w:type="dxa" w:w="5054"/>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مذكّرة تفاهم + عقد خدمة / MoU + service contract</w:t>
            </w:r>
          </w:p>
        </w:tc>
      </w:tr>
      <w:tr>
        <w:tc>
          <w:tcPr>
            <w:tcW w:type="dxa" w:w="4305"/>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المدّة / Duration</w:t>
            </w:r>
          </w:p>
        </w:tc>
        <w:tc>
          <w:tcPr>
            <w:tcW w:type="dxa" w:w="5054"/>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6 أشهر (قابلة للتجديد) / 6 months (renewable)</w:t>
            </w:r>
          </w:p>
        </w:tc>
      </w:tr>
      <w:tr>
        <w:tc>
          <w:tcPr>
            <w:tcW w:type="dxa" w:w="4305"/>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حجم الأسطول / Fleet size</w:t>
            </w:r>
          </w:p>
        </w:tc>
        <w:tc>
          <w:tcPr>
            <w:tcW w:type="dxa" w:w="5054"/>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50 مركبة على 3 مسارات / 50 vehicles, 3 routes</w:t>
            </w:r>
          </w:p>
        </w:tc>
      </w:tr>
      <w:tr>
        <w:tc>
          <w:tcPr>
            <w:tcW w:type="dxa" w:w="4305"/>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رسم المنصّة / Platform fee</w:t>
            </w:r>
          </w:p>
        </w:tc>
        <w:tc>
          <w:tcPr>
            <w:tcW w:type="dxa" w:w="5054"/>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$500 شهرياً (≈ SYP 57,750) / per month</w:t>
            </w:r>
          </w:p>
        </w:tc>
      </w:tr>
      <w:tr>
        <w:tc>
          <w:tcPr>
            <w:tcW w:type="dxa" w:w="4305"/>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إجمالي كلفة التجربة / Total pilot cost</w:t>
            </w:r>
          </w:p>
        </w:tc>
        <w:tc>
          <w:tcPr>
            <w:tcW w:type="dxa" w:w="5054"/>
            <w:tcMar>
              <w:top w:w="60" w:type="dxa"/>
              <w:bottom w:w="60" w:type="dxa"/>
              <w:start w:w="110" w:type="dxa"/>
              <w:end w:w="110" w:type="dxa"/>
            </w:tcMar>
          </w:tcPr>
          <w:p>
            <w:r>
              <w:rPr>
                <w:rFonts w:ascii="IBM Plex Sans" w:hAnsi="IBM Plex Sans" w:cs="IBM Plex Sans"/>
                <w:b w:val="0"/>
                <w:color w:val="222222"/>
                <w:sz w:val="19"/>
                <w:szCs w:val="19"/>
              </w:rPr>
              <w:t>$3,000 (≈ SYP 346,500)</w:t>
            </w:r>
          </w:p>
        </w:tc>
      </w:tr>
      <w:tr>
        <w:tc>
          <w:tcPr>
            <w:tcW w:type="dxa" w:w="4305"/>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عتاد GPS (إن اشترته الوزارة) / GPS hardware (if Ministry procures)</w:t>
            </w:r>
          </w:p>
        </w:tc>
        <w:tc>
          <w:tcPr>
            <w:tcW w:type="dxa" w:w="5054"/>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$9,500 (≈ SYP 1.1M) لـ50 وحدة / for 50 units</w:t>
            </w:r>
          </w:p>
        </w:tc>
      </w:tr>
      <w:tr>
        <w:tc>
          <w:tcPr>
            <w:tcW w:type="dxa" w:w="4305"/>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البدء / Commencement</w:t>
            </w:r>
          </w:p>
        </w:tc>
        <w:tc>
          <w:tcPr>
            <w:tcW w:type="dxa" w:w="5054"/>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النشر خلال 4 أسابيع من التوقيع / Deployment within 4 weeks of signing</w:t>
            </w:r>
          </w:p>
        </w:tc>
      </w:tr>
    </w:tbl>
    <w:p>
      <w:pPr>
        <w:bidi/>
        <w:spacing w:before="240" w:after="0"/>
        <w:jc w:val="right"/>
      </w:pPr>
      <w:r>
        <w:rPr>
          <w:rFonts w:ascii="IBM Plex Sans Arabic" w:hAnsi="IBM Plex Sans Arabic" w:cs="IBM Plex Sans Arabic"/>
          <w:b/>
          <w:color w:val="1B4332"/>
          <w:sz w:val="34"/>
          <w:szCs w:val="34"/>
          <w:rtl/>
        </w:rPr>
        <w:t>ما تحصل عليه الوزارة</w:t>
      </w:r>
    </w:p>
    <w:p>
      <w:pPr>
        <w:spacing w:before="0" w:after="100"/>
      </w:pPr>
      <w:r>
        <w:rPr>
          <w:rFonts w:ascii="IBM Plex Sans" w:hAnsi="IBM Plex Sans" w:cs="IBM Plex Sans"/>
          <w:b/>
          <w:color w:val="1B4332"/>
          <w:sz w:val="30"/>
          <w:szCs w:val="30"/>
        </w:rPr>
        <w:t>What the Ministry Receives</w:t>
      </w:r>
    </w:p>
    <w:tbl>
      <w:tblPr>
        <w:tblW w:type="auto" w:w="0"/>
        <w:jc w:val="center"/>
        <w:tblLook w:firstColumn="1" w:firstRow="1" w:lastColumn="0" w:lastRow="0" w:noHBand="0" w:noVBand="1" w:val="04A0"/>
        <w:tblBorders>
          <w:top w:val="single" w:sz="4" w:space="0" w:color="D8D8D0"/>
          <w:left w:val="single" w:sz="4" w:space="0" w:color="D8D8D0"/>
          <w:bottom w:val="single" w:sz="4" w:space="0" w:color="D8D8D0"/>
          <w:right w:val="single" w:sz="4" w:space="0" w:color="D8D8D0"/>
          <w:insideH w:val="single" w:sz="4" w:space="0" w:color="D8D8D0"/>
          <w:insideV w:val="single" w:sz="4" w:space="0" w:color="D8D8D0"/>
        </w:tblBorders>
      </w:tblPr>
      <w:tblGrid>
        <w:gridCol w:w="4680"/>
        <w:gridCol w:w="4680"/>
      </w:tblGrid>
      <w:tr>
        <w:tc>
          <w:tcPr>
            <w:tcW w:type="dxa" w:w="5803"/>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المُخرَج</w:t>
            </w:r>
            <w:r>
              <w:br/>
            </w:r>
            <w:r>
              <w:rPr>
                <w:rFonts w:ascii="IBM Plex Sans" w:hAnsi="IBM Plex Sans" w:cs="IBM Plex Sans"/>
                <w:b/>
                <w:color w:val="F9F6EF"/>
                <w:sz w:val="19"/>
                <w:szCs w:val="19"/>
              </w:rPr>
              <w:t>Deliverable</w:t>
            </w:r>
          </w:p>
        </w:tc>
        <w:tc>
          <w:tcPr>
            <w:tcW w:type="dxa" w:w="3556"/>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التوقيت</w:t>
            </w:r>
            <w:r>
              <w:br/>
            </w:r>
            <w:r>
              <w:rPr>
                <w:rFonts w:ascii="IBM Plex Sans" w:hAnsi="IBM Plex Sans" w:cs="IBM Plex Sans"/>
                <w:b/>
                <w:color w:val="F9F6EF"/>
                <w:sz w:val="19"/>
                <w:szCs w:val="19"/>
              </w:rPr>
              <w:t>Timeline</w:t>
            </w:r>
          </w:p>
        </w:tc>
      </w:tr>
      <w:tr>
        <w:tc>
          <w:tcPr>
            <w:tcW w:type="dxa" w:w="5803"/>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وصول إلى لوحة تحكّم الوزارة (عربي/إنجليزي) / Ministry admin dashboard (AR/EN)</w:t>
            </w:r>
          </w:p>
        </w:tc>
        <w:tc>
          <w:tcPr>
            <w:tcW w:type="dxa" w:w="3556"/>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الأسبوع 4 / Week 4</w:t>
            </w:r>
          </w:p>
        </w:tc>
      </w:tr>
      <w:tr>
        <w:tc>
          <w:tcPr>
            <w:tcW w:type="dxa" w:w="5803"/>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تتبّع حيّ لـ50 مركبة / Live tracking of 50 vehicles</w:t>
            </w:r>
          </w:p>
        </w:tc>
        <w:tc>
          <w:tcPr>
            <w:tcW w:type="dxa" w:w="3556"/>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الأسبوع 8 / Week 8</w:t>
            </w:r>
          </w:p>
        </w:tc>
      </w:tr>
      <w:tr>
        <w:tc>
          <w:tcPr>
            <w:tcW w:type="dxa" w:w="5803"/>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تنبيهات الانحراف عن المسار / Route-compliance alerts</w:t>
            </w:r>
          </w:p>
        </w:tc>
        <w:tc>
          <w:tcPr>
            <w:tcW w:type="dxa" w:w="3556"/>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الأسبوع 8 / Week 8</w:t>
            </w:r>
          </w:p>
        </w:tc>
      </w:tr>
      <w:tr>
        <w:tc>
          <w:tcPr>
            <w:tcW w:type="dxa" w:w="5803"/>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تدريب المرسلين (4 جلسات بالعربية) / Dispatcher training (4 Arabic sessions)</w:t>
            </w:r>
          </w:p>
        </w:tc>
        <w:tc>
          <w:tcPr>
            <w:tcW w:type="dxa" w:w="3556"/>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الأسبوعان 9–10 / Weeks 9–10</w:t>
            </w:r>
          </w:p>
        </w:tc>
      </w:tr>
      <w:tr>
        <w:tc>
          <w:tcPr>
            <w:tcW w:type="dxa" w:w="5803"/>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تقرير أداء شهري (PDF) / Monthly performance report (PDF)</w:t>
            </w:r>
          </w:p>
        </w:tc>
        <w:tc>
          <w:tcPr>
            <w:tcW w:type="dxa" w:w="3556"/>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شهرياً من الشهر 3 / Monthly from Month 3</w:t>
            </w:r>
          </w:p>
        </w:tc>
      </w:tr>
      <w:tr>
        <w:tc>
          <w:tcPr>
            <w:tcW w:type="dxa" w:w="5803"/>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رفع تغذية GTFS إلى خرائط Google / GTFS feed to Google Maps</w:t>
            </w:r>
          </w:p>
        </w:tc>
        <w:tc>
          <w:tcPr>
            <w:tcW w:type="dxa" w:w="3556"/>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الشهر 4 / Month 4</w:t>
            </w:r>
          </w:p>
        </w:tc>
      </w:tr>
      <w:tr>
        <w:tc>
          <w:tcPr>
            <w:tcW w:type="dxa" w:w="5803"/>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تطبيق الركّاب على 3 مسارات / Passenger app on 3 routes</w:t>
            </w:r>
          </w:p>
        </w:tc>
        <w:tc>
          <w:tcPr>
            <w:tcW w:type="dxa" w:w="3556"/>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الشهر 4 / Month 4</w:t>
            </w:r>
          </w:p>
        </w:tc>
      </w:tr>
      <w:tr>
        <w:tc>
          <w:tcPr>
            <w:tcW w:type="dxa" w:w="5803"/>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التزام جهوزية المنصّة / Platform uptime commitment</w:t>
            </w:r>
          </w:p>
        </w:tc>
        <w:tc>
          <w:tcPr>
            <w:tcW w:type="dxa" w:w="3556"/>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99.5% (هدف / target)</w:t>
            </w:r>
          </w:p>
        </w:tc>
      </w:tr>
    </w:tbl>
    <w:p>
      <w:pPr>
        <w:bidi/>
        <w:spacing w:before="240" w:after="0"/>
        <w:jc w:val="right"/>
      </w:pPr>
      <w:r>
        <w:rPr>
          <w:rFonts w:ascii="IBM Plex Sans Arabic" w:hAnsi="IBM Plex Sans Arabic" w:cs="IBM Plex Sans Arabic"/>
          <w:b/>
          <w:color w:val="1B4332"/>
          <w:sz w:val="34"/>
          <w:szCs w:val="34"/>
          <w:rtl/>
        </w:rPr>
        <w:t>ما نطلبه من الوزارة</w:t>
      </w:r>
    </w:p>
    <w:p>
      <w:pPr>
        <w:spacing w:before="0" w:after="100"/>
      </w:pPr>
      <w:r>
        <w:rPr>
          <w:rFonts w:ascii="IBM Plex Sans" w:hAnsi="IBM Plex Sans" w:cs="IBM Plex Sans"/>
          <w:b/>
          <w:color w:val="1B4332"/>
          <w:sz w:val="30"/>
          <w:szCs w:val="30"/>
        </w:rPr>
        <w:t>What DAM Needs from the Ministry</w:t>
      </w:r>
    </w:p>
    <w:tbl>
      <w:tblPr>
        <w:tblW w:type="auto" w:w="0"/>
        <w:jc w:val="center"/>
        <w:tblLook w:firstColumn="1" w:firstRow="1" w:lastColumn="0" w:lastRow="0" w:noHBand="0" w:noVBand="1" w:val="04A0"/>
        <w:tblBorders>
          <w:top w:val="single" w:sz="4" w:space="0" w:color="D8D8D0"/>
          <w:left w:val="single" w:sz="4" w:space="0" w:color="D8D8D0"/>
          <w:bottom w:val="single" w:sz="4" w:space="0" w:color="D8D8D0"/>
          <w:right w:val="single" w:sz="4" w:space="0" w:color="D8D8D0"/>
          <w:insideH w:val="single" w:sz="4" w:space="0" w:color="D8D8D0"/>
          <w:insideV w:val="single" w:sz="4" w:space="0" w:color="D8D8D0"/>
        </w:tblBorders>
      </w:tblPr>
      <w:tblGrid>
        <w:gridCol w:w="3120"/>
        <w:gridCol w:w="3120"/>
        <w:gridCol w:w="3120"/>
      </w:tblGrid>
      <w:tr>
        <w:tc>
          <w:tcPr>
            <w:tcW w:type="dxa" w:w="3744"/>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الطلب</w:t>
            </w:r>
            <w:r>
              <w:br/>
            </w:r>
            <w:r>
              <w:rPr>
                <w:rFonts w:ascii="IBM Plex Sans" w:hAnsi="IBM Plex Sans" w:cs="IBM Plex Sans"/>
                <w:b/>
                <w:color w:val="F9F6EF"/>
                <w:sz w:val="19"/>
                <w:szCs w:val="19"/>
              </w:rPr>
              <w:t>Item</w:t>
            </w:r>
          </w:p>
        </w:tc>
        <w:tc>
          <w:tcPr>
            <w:tcW w:type="dxa" w:w="3369"/>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الغرض</w:t>
            </w:r>
            <w:r>
              <w:br/>
            </w:r>
            <w:r>
              <w:rPr>
                <w:rFonts w:ascii="IBM Plex Sans" w:hAnsi="IBM Plex Sans" w:cs="IBM Plex Sans"/>
                <w:b/>
                <w:color w:val="F9F6EF"/>
                <w:sz w:val="19"/>
                <w:szCs w:val="19"/>
              </w:rPr>
              <w:t>Purpose</w:t>
            </w:r>
          </w:p>
        </w:tc>
        <w:tc>
          <w:tcPr>
            <w:tcW w:type="dxa" w:w="2246"/>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التوقيت</w:t>
            </w:r>
            <w:r>
              <w:br/>
            </w:r>
            <w:r>
              <w:rPr>
                <w:rFonts w:ascii="IBM Plex Sans" w:hAnsi="IBM Plex Sans" w:cs="IBM Plex Sans"/>
                <w:b/>
                <w:color w:val="F9F6EF"/>
                <w:sz w:val="19"/>
                <w:szCs w:val="19"/>
              </w:rPr>
              <w:t>Timing</w:t>
            </w:r>
          </w:p>
        </w:tc>
      </w:tr>
      <w:tr>
        <w:tc>
          <w:tcPr>
            <w:tcW w:type="dxa" w:w="3744"/>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بيانات مسارات GIS الرسمية (3 مسارات) / Official GIS route data (3 routes)</w:t>
            </w:r>
          </w:p>
        </w:tc>
        <w:tc>
          <w:tcPr>
            <w:tcW w:type="dxa" w:w="3369"/>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دقّة GTFS والتسييج الجغرافي / GTFS &amp; geofencing</w:t>
            </w:r>
          </w:p>
        </w:tc>
        <w:tc>
          <w:tcPr>
            <w:tcW w:type="dxa" w:w="2246"/>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الأسبوع 1 / Week 1</w:t>
            </w:r>
          </w:p>
        </w:tc>
      </w:tr>
      <w:tr>
        <w:tc>
          <w:tcPr>
            <w:tcW w:type="dxa" w:w="3744"/>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تعريف بـ3 مشغّلين تجريبيين / Introduction to 3 pilot operators</w:t>
            </w:r>
          </w:p>
        </w:tc>
        <w:tc>
          <w:tcPr>
            <w:tcW w:type="dxa" w:w="3369"/>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الوصول لتركيب GPS / GPS install access</w:t>
            </w:r>
          </w:p>
        </w:tc>
        <w:tc>
          <w:tcPr>
            <w:tcW w:type="dxa" w:w="2246"/>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الأسبوع 2 / Week 2</w:t>
            </w:r>
          </w:p>
        </w:tc>
      </w:tr>
      <w:tr>
        <w:tc>
          <w:tcPr>
            <w:tcW w:type="dxa" w:w="3744"/>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توجيه بتركيب GPS على 50 مركبة / Directive to install GPS on 50 vehicles</w:t>
            </w:r>
          </w:p>
        </w:tc>
        <w:tc>
          <w:tcPr>
            <w:tcW w:type="dxa" w:w="3369"/>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ضمان تعاون المشغّلين / Operator cooperation</w:t>
            </w:r>
          </w:p>
        </w:tc>
        <w:tc>
          <w:tcPr>
            <w:tcW w:type="dxa" w:w="2246"/>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الأسبوع 2 / Week 2</w:t>
            </w:r>
          </w:p>
        </w:tc>
      </w:tr>
      <w:tr>
        <w:tc>
          <w:tcPr>
            <w:tcW w:type="dxa" w:w="3744"/>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جهة تنسيق في الوزارة / A named Ministry focal point</w:t>
            </w:r>
          </w:p>
        </w:tc>
        <w:tc>
          <w:tcPr>
            <w:tcW w:type="dxa" w:w="3369"/>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التنسيق الأسبوعي / Weekly coordination</w:t>
            </w:r>
          </w:p>
        </w:tc>
        <w:tc>
          <w:tcPr>
            <w:tcW w:type="dxa" w:w="2246"/>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الأسبوع 1 / Week 1</w:t>
            </w:r>
          </w:p>
        </w:tc>
      </w:tr>
    </w:tbl>
    <w:p>
      <w:r>
        <w:br w:type="page"/>
      </w:r>
    </w:p>
    <w:p>
      <w:pPr>
        <w:bidi/>
        <w:spacing w:before="240" w:after="0"/>
        <w:jc w:val="right"/>
      </w:pPr>
      <w:r>
        <w:rPr>
          <w:rFonts w:ascii="IBM Plex Sans Arabic" w:hAnsi="IBM Plex Sans Arabic" w:cs="IBM Plex Sans Arabic"/>
          <w:b/>
          <w:color w:val="1B4332"/>
          <w:sz w:val="34"/>
          <w:szCs w:val="34"/>
          <w:rtl/>
        </w:rPr>
        <w:t>خطة التنفيذ — 16 أسبوعاً</w:t>
      </w:r>
    </w:p>
    <w:p>
      <w:pPr>
        <w:spacing w:before="0" w:after="100"/>
      </w:pPr>
      <w:r>
        <w:rPr>
          <w:rFonts w:ascii="IBM Plex Sans" w:hAnsi="IBM Plex Sans" w:cs="IBM Plex Sans"/>
          <w:b/>
          <w:color w:val="1B4332"/>
          <w:sz w:val="30"/>
          <w:szCs w:val="30"/>
        </w:rPr>
        <w:t>Implementation Timeline — 16 Weeks</w:t>
      </w:r>
    </w:p>
    <w:tbl>
      <w:tblPr>
        <w:tblW w:type="auto" w:w="0"/>
        <w:jc w:val="center"/>
        <w:tblLook w:firstColumn="1" w:firstRow="1" w:lastColumn="0" w:lastRow="0" w:noHBand="0" w:noVBand="1" w:val="04A0"/>
        <w:tblBorders>
          <w:top w:val="single" w:sz="4" w:space="0" w:color="D8D8D0"/>
          <w:left w:val="single" w:sz="4" w:space="0" w:color="D8D8D0"/>
          <w:bottom w:val="single" w:sz="4" w:space="0" w:color="D8D8D0"/>
          <w:right w:val="single" w:sz="4" w:space="0" w:color="D8D8D0"/>
          <w:insideH w:val="single" w:sz="4" w:space="0" w:color="D8D8D0"/>
          <w:insideV w:val="single" w:sz="4" w:space="0" w:color="D8D8D0"/>
        </w:tblBorders>
      </w:tblPr>
      <w:tblGrid>
        <w:gridCol w:w="4680"/>
        <w:gridCol w:w="4680"/>
      </w:tblGrid>
      <w:tr>
        <w:tc>
          <w:tcPr>
            <w:tcW w:type="dxa" w:w="1497"/>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الأسبوع</w:t>
            </w:r>
            <w:r>
              <w:br/>
            </w:r>
            <w:r>
              <w:rPr>
                <w:rFonts w:ascii="IBM Plex Sans" w:hAnsi="IBM Plex Sans" w:cs="IBM Plex Sans"/>
                <w:b/>
                <w:color w:val="F9F6EF"/>
                <w:sz w:val="19"/>
                <w:szCs w:val="19"/>
              </w:rPr>
              <w:t>Week</w:t>
            </w:r>
          </w:p>
        </w:tc>
        <w:tc>
          <w:tcPr>
            <w:tcW w:type="dxa" w:w="7862"/>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النشاط</w:t>
            </w:r>
            <w:r>
              <w:br/>
            </w:r>
            <w:r>
              <w:rPr>
                <w:rFonts w:ascii="IBM Plex Sans" w:hAnsi="IBM Plex Sans" w:cs="IBM Plex Sans"/>
                <w:b/>
                <w:color w:val="F9F6EF"/>
                <w:sz w:val="19"/>
                <w:szCs w:val="19"/>
              </w:rPr>
              <w:t>Activity</w:t>
            </w:r>
          </w:p>
        </w:tc>
      </w:tr>
      <w:tr>
        <w:tc>
          <w:tcPr>
            <w:tcW w:type="dxa" w:w="1497"/>
            <w:tcMar>
              <w:top w:w="60" w:type="dxa"/>
              <w:bottom w:w="60" w:type="dxa"/>
              <w:start w:w="110" w:type="dxa"/>
              <w:end w:w="110" w:type="dxa"/>
            </w:tcMar>
          </w:tcPr>
          <w:p>
            <w:r>
              <w:rPr>
                <w:rFonts w:ascii="IBM Plex Sans" w:hAnsi="IBM Plex Sans" w:cs="IBM Plex Sans"/>
                <w:b w:val="0"/>
                <w:color w:val="222222"/>
                <w:sz w:val="19"/>
                <w:szCs w:val="19"/>
              </w:rPr>
              <w:t>1</w:t>
            </w:r>
          </w:p>
        </w:tc>
        <w:tc>
          <w:tcPr>
            <w:tcW w:type="dxa" w:w="7862"/>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توقيع مذكّرة التفاهم والعقد / MoU &amp; contract signing</w:t>
            </w:r>
          </w:p>
        </w:tc>
      </w:tr>
      <w:tr>
        <w:tc>
          <w:tcPr>
            <w:tcW w:type="dxa" w:w="1497"/>
            <w:tcMar>
              <w:top w:w="60" w:type="dxa"/>
              <w:bottom w:w="60" w:type="dxa"/>
              <w:start w:w="110" w:type="dxa"/>
              <w:end w:w="110" w:type="dxa"/>
            </w:tcMar>
            <w:shd w:val="clear" w:color="auto" w:fill="E7ECE8"/>
          </w:tcPr>
          <w:p>
            <w:r>
              <w:rPr>
                <w:rFonts w:ascii="IBM Plex Sans" w:hAnsi="IBM Plex Sans" w:cs="IBM Plex Sans"/>
                <w:b w:val="0"/>
                <w:color w:val="222222"/>
                <w:sz w:val="19"/>
                <w:szCs w:val="19"/>
              </w:rPr>
              <w:t>2–3</w:t>
            </w:r>
          </w:p>
        </w:tc>
        <w:tc>
          <w:tcPr>
            <w:tcW w:type="dxa" w:w="7862"/>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شراء وحدات GPS (50 وحدة) / GPS procurement (50 units)</w:t>
            </w:r>
          </w:p>
        </w:tc>
      </w:tr>
      <w:tr>
        <w:tc>
          <w:tcPr>
            <w:tcW w:type="dxa" w:w="1497"/>
            <w:tcMar>
              <w:top w:w="60" w:type="dxa"/>
              <w:bottom w:w="60" w:type="dxa"/>
              <w:start w:w="110" w:type="dxa"/>
              <w:end w:w="110" w:type="dxa"/>
            </w:tcMar>
          </w:tcPr>
          <w:p>
            <w:r>
              <w:rPr>
                <w:rFonts w:ascii="IBM Plex Sans" w:hAnsi="IBM Plex Sans" w:cs="IBM Plex Sans"/>
                <w:b w:val="0"/>
                <w:color w:val="222222"/>
                <w:sz w:val="19"/>
                <w:szCs w:val="19"/>
              </w:rPr>
              <w:t>4</w:t>
            </w:r>
          </w:p>
        </w:tc>
        <w:tc>
          <w:tcPr>
            <w:tcW w:type="dxa" w:w="7862"/>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نشر الخادم وإنشاء حسابات الوزارة / Server deploy, Ministry accounts</w:t>
            </w:r>
          </w:p>
        </w:tc>
      </w:tr>
      <w:tr>
        <w:tc>
          <w:tcPr>
            <w:tcW w:type="dxa" w:w="1497"/>
            <w:tcMar>
              <w:top w:w="60" w:type="dxa"/>
              <w:bottom w:w="60" w:type="dxa"/>
              <w:start w:w="110" w:type="dxa"/>
              <w:end w:w="110" w:type="dxa"/>
            </w:tcMar>
            <w:shd w:val="clear" w:color="auto" w:fill="E7ECE8"/>
          </w:tcPr>
          <w:p>
            <w:r>
              <w:rPr>
                <w:rFonts w:ascii="IBM Plex Sans" w:hAnsi="IBM Plex Sans" w:cs="IBM Plex Sans"/>
                <w:b w:val="0"/>
                <w:color w:val="222222"/>
                <w:sz w:val="19"/>
                <w:szCs w:val="19"/>
              </w:rPr>
              <w:t>5–6</w:t>
            </w:r>
          </w:p>
        </w:tc>
        <w:tc>
          <w:tcPr>
            <w:tcW w:type="dxa" w:w="7862"/>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تركيب GPS على المركبات / GPS installation on vehicles</w:t>
            </w:r>
          </w:p>
        </w:tc>
      </w:tr>
      <w:tr>
        <w:tc>
          <w:tcPr>
            <w:tcW w:type="dxa" w:w="1497"/>
            <w:tcMar>
              <w:top w:w="60" w:type="dxa"/>
              <w:bottom w:w="60" w:type="dxa"/>
              <w:start w:w="110" w:type="dxa"/>
              <w:end w:w="110" w:type="dxa"/>
            </w:tcMar>
          </w:tcPr>
          <w:p>
            <w:r>
              <w:rPr>
                <w:rFonts w:ascii="IBM Plex Sans" w:hAnsi="IBM Plex Sans" w:cs="IBM Plex Sans"/>
                <w:b w:val="0"/>
                <w:color w:val="222222"/>
                <w:sz w:val="19"/>
                <w:szCs w:val="19"/>
              </w:rPr>
              <w:t>7–8</w:t>
            </w:r>
          </w:p>
        </w:tc>
        <w:tc>
          <w:tcPr>
            <w:tcW w:type="dxa" w:w="7862"/>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تأكيد التتبّع الحيّ لكل المركبات / All vehicles live</w:t>
            </w:r>
          </w:p>
        </w:tc>
      </w:tr>
      <w:tr>
        <w:tc>
          <w:tcPr>
            <w:tcW w:type="dxa" w:w="1497"/>
            <w:tcMar>
              <w:top w:w="60" w:type="dxa"/>
              <w:bottom w:w="60" w:type="dxa"/>
              <w:start w:w="110" w:type="dxa"/>
              <w:end w:w="110" w:type="dxa"/>
            </w:tcMar>
            <w:shd w:val="clear" w:color="auto" w:fill="E7ECE8"/>
          </w:tcPr>
          <w:p>
            <w:r>
              <w:rPr>
                <w:rFonts w:ascii="IBM Plex Sans" w:hAnsi="IBM Plex Sans" w:cs="IBM Plex Sans"/>
                <w:b w:val="0"/>
                <w:color w:val="222222"/>
                <w:sz w:val="19"/>
                <w:szCs w:val="19"/>
              </w:rPr>
              <w:t>9–10</w:t>
            </w:r>
          </w:p>
        </w:tc>
        <w:tc>
          <w:tcPr>
            <w:tcW w:type="dxa" w:w="7862"/>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تدريب مرسلي الوزارة / Ministry dispatcher training</w:t>
            </w:r>
          </w:p>
        </w:tc>
      </w:tr>
      <w:tr>
        <w:tc>
          <w:tcPr>
            <w:tcW w:type="dxa" w:w="1497"/>
            <w:tcMar>
              <w:top w:w="60" w:type="dxa"/>
              <w:bottom w:w="60" w:type="dxa"/>
              <w:start w:w="110" w:type="dxa"/>
              <w:end w:w="110" w:type="dxa"/>
            </w:tcMar>
          </w:tcPr>
          <w:p>
            <w:r>
              <w:rPr>
                <w:rFonts w:ascii="IBM Plex Sans" w:hAnsi="IBM Plex Sans" w:cs="IBM Plex Sans"/>
                <w:b w:val="0"/>
                <w:color w:val="222222"/>
                <w:sz w:val="19"/>
                <w:szCs w:val="19"/>
              </w:rPr>
              <w:t>11–12</w:t>
            </w:r>
          </w:p>
        </w:tc>
        <w:tc>
          <w:tcPr>
            <w:tcW w:type="dxa" w:w="7862"/>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رفع تغذية GTFS إلى خرائط Google / GTFS submitted to Google Maps</w:t>
            </w:r>
          </w:p>
        </w:tc>
      </w:tr>
      <w:tr>
        <w:tc>
          <w:tcPr>
            <w:tcW w:type="dxa" w:w="1497"/>
            <w:tcMar>
              <w:top w:w="60" w:type="dxa"/>
              <w:bottom w:w="60" w:type="dxa"/>
              <w:start w:w="110" w:type="dxa"/>
              <w:end w:w="110" w:type="dxa"/>
            </w:tcMar>
            <w:shd w:val="clear" w:color="auto" w:fill="E7ECE8"/>
          </w:tcPr>
          <w:p>
            <w:r>
              <w:rPr>
                <w:rFonts w:ascii="IBM Plex Sans" w:hAnsi="IBM Plex Sans" w:cs="IBM Plex Sans"/>
                <w:b w:val="0"/>
                <w:color w:val="222222"/>
                <w:sz w:val="19"/>
                <w:szCs w:val="19"/>
              </w:rPr>
              <w:t>13–14</w:t>
            </w:r>
          </w:p>
        </w:tc>
        <w:tc>
          <w:tcPr>
            <w:tcW w:type="dxa" w:w="7862"/>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إطلاق تطبيق الركّاب / Passenger app launched</w:t>
            </w:r>
          </w:p>
        </w:tc>
      </w:tr>
      <w:tr>
        <w:tc>
          <w:tcPr>
            <w:tcW w:type="dxa" w:w="1497"/>
            <w:tcMar>
              <w:top w:w="60" w:type="dxa"/>
              <w:bottom w:w="60" w:type="dxa"/>
              <w:start w:w="110" w:type="dxa"/>
              <w:end w:w="110" w:type="dxa"/>
            </w:tcMar>
          </w:tcPr>
          <w:p>
            <w:r>
              <w:rPr>
                <w:rFonts w:ascii="IBM Plex Sans" w:hAnsi="IBM Plex Sans" w:cs="IBM Plex Sans"/>
                <w:b w:val="0"/>
                <w:color w:val="222222"/>
                <w:sz w:val="19"/>
                <w:szCs w:val="19"/>
              </w:rPr>
              <w:t>15</w:t>
            </w:r>
          </w:p>
        </w:tc>
        <w:tc>
          <w:tcPr>
            <w:tcW w:type="dxa" w:w="7862"/>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عرض حيّ كامل للوزارة / Full live Ministry demonstration</w:t>
            </w:r>
          </w:p>
        </w:tc>
      </w:tr>
      <w:tr>
        <w:tc>
          <w:tcPr>
            <w:tcW w:type="dxa" w:w="1497"/>
            <w:tcMar>
              <w:top w:w="60" w:type="dxa"/>
              <w:bottom w:w="60" w:type="dxa"/>
              <w:start w:w="110" w:type="dxa"/>
              <w:end w:w="110" w:type="dxa"/>
            </w:tcMar>
            <w:shd w:val="clear" w:color="auto" w:fill="E7ECE8"/>
          </w:tcPr>
          <w:p>
            <w:r>
              <w:rPr>
                <w:rFonts w:ascii="IBM Plex Sans" w:hAnsi="IBM Plex Sans" w:cs="IBM Plex Sans"/>
                <w:b w:val="0"/>
                <w:color w:val="222222"/>
                <w:sz w:val="19"/>
                <w:szCs w:val="19"/>
              </w:rPr>
              <w:t>16</w:t>
            </w:r>
          </w:p>
        </w:tc>
        <w:tc>
          <w:tcPr>
            <w:tcW w:type="dxa" w:w="7862"/>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تقييم الاستمرار (Go/No-Go) / Go/No-Go evaluation</w:t>
            </w:r>
          </w:p>
        </w:tc>
      </w:tr>
    </w:tbl>
    <w:p>
      <w:pPr>
        <w:spacing w:after="160" w:before="0"/>
      </w:pPr>
      <w:r>
        <w:rPr>
          <w:rFonts w:ascii="IBM Plex Sans" w:hAnsi="IBM Plex Sans" w:cs="IBM Plex Sans"/>
          <w:b w:val="0"/>
          <w:color w:val="333333"/>
          <w:sz w:val="21"/>
          <w:szCs w:val="21"/>
        </w:rPr>
      </w:r>
    </w:p>
    <w:p>
      <w:pPr>
        <w:bidi/>
        <w:spacing w:before="180" w:after="0"/>
        <w:jc w:val="right"/>
      </w:pPr>
      <w:r>
        <w:rPr>
          <w:rFonts w:ascii="IBM Plex Sans Arabic" w:hAnsi="IBM Plex Sans Arabic" w:cs="IBM Plex Sans Arabic"/>
          <w:b/>
          <w:color w:val="1B4332"/>
          <w:sz w:val="28"/>
          <w:szCs w:val="28"/>
          <w:rtl/>
        </w:rPr>
        <w:t>معايير النجاح (الشهر 4)</w:t>
      </w:r>
    </w:p>
    <w:p>
      <w:pPr>
        <w:spacing w:before="0" w:after="100"/>
      </w:pPr>
      <w:r>
        <w:rPr>
          <w:rFonts w:ascii="IBM Plex Sans" w:hAnsi="IBM Plex Sans" w:cs="IBM Plex Sans"/>
          <w:b/>
          <w:color w:val="1B4332"/>
          <w:sz w:val="25"/>
          <w:szCs w:val="25"/>
        </w:rPr>
        <w:t>Success Criteria (Month 4)</w:t>
      </w:r>
    </w:p>
    <w:p>
      <w:pPr>
        <w:bidi/>
        <w:spacing w:after="20" w:before="0"/>
        <w:jc w:val="right"/>
      </w:pPr>
      <w:r>
        <w:rPr>
          <w:rFonts w:ascii="IBM Plex Sans Arabic" w:hAnsi="IBM Plex Sans Arabic" w:cs="IBM Plex Sans Arabic"/>
          <w:b w:val="0"/>
          <w:color w:val="0D1B2A"/>
          <w:sz w:val="22"/>
          <w:szCs w:val="22"/>
          <w:rtl/>
        </w:rPr>
        <w:t>جهوزية الأسطول أكثر من 90%؛ زمن تحديث الموقع أقل من 30 ثانية؛ معدّل تبنّي المرسلين أكثر من 80%؛ تقييم إيجابي من الركّاب على المسارات التجريبية.</w:t>
      </w:r>
    </w:p>
    <w:p>
      <w:pPr>
        <w:spacing w:after="180" w:before="0"/>
      </w:pPr>
      <w:r>
        <w:rPr>
          <w:rFonts w:ascii="IBM Plex Sans" w:hAnsi="IBM Plex Sans" w:cs="IBM Plex Sans"/>
          <w:b w:val="0"/>
          <w:color w:val="333333"/>
          <w:sz w:val="21"/>
          <w:szCs w:val="21"/>
        </w:rPr>
        <w:t>Fleet uptime above 90%; average position latency under 30 seconds; Ministry dispatcher adoption above 80%; positive passenger feedback on the pilot routes.</w:t>
      </w:r>
    </w:p>
    <w:p>
      <w:pPr>
        <w:bidi/>
        <w:spacing w:before="240" w:after="0"/>
        <w:jc w:val="right"/>
      </w:pPr>
      <w:r>
        <w:rPr>
          <w:rFonts w:ascii="IBM Plex Sans Arabic" w:hAnsi="IBM Plex Sans Arabic" w:cs="IBM Plex Sans Arabic"/>
          <w:b/>
          <w:color w:val="1B4332"/>
          <w:sz w:val="34"/>
          <w:szCs w:val="34"/>
          <w:rtl/>
        </w:rPr>
        <w:t>العائد على الاستثمار للوزارة</w:t>
      </w:r>
    </w:p>
    <w:p>
      <w:pPr>
        <w:spacing w:before="0" w:after="100"/>
      </w:pPr>
      <w:r>
        <w:rPr>
          <w:rFonts w:ascii="IBM Plex Sans" w:hAnsi="IBM Plex Sans" w:cs="IBM Plex Sans"/>
          <w:b/>
          <w:color w:val="1B4332"/>
          <w:sz w:val="30"/>
          <w:szCs w:val="30"/>
        </w:rPr>
        <w:t>Return on Investment for the Ministry</w:t>
      </w:r>
    </w:p>
    <w:tbl>
      <w:tblPr>
        <w:tblW w:type="auto" w:w="0"/>
        <w:jc w:val="center"/>
        <w:tblLook w:firstColumn="1" w:firstRow="1" w:lastColumn="0" w:lastRow="0" w:noHBand="0" w:noVBand="1" w:val="04A0"/>
        <w:tblBorders>
          <w:top w:val="single" w:sz="4" w:space="0" w:color="D8D8D0"/>
          <w:left w:val="single" w:sz="4" w:space="0" w:color="D8D8D0"/>
          <w:bottom w:val="single" w:sz="4" w:space="0" w:color="D8D8D0"/>
          <w:right w:val="single" w:sz="4" w:space="0" w:color="D8D8D0"/>
          <w:insideH w:val="single" w:sz="4" w:space="0" w:color="D8D8D0"/>
          <w:insideV w:val="single" w:sz="4" w:space="0" w:color="D8D8D0"/>
        </w:tblBorders>
      </w:tblPr>
      <w:tblGrid>
        <w:gridCol w:w="4680"/>
        <w:gridCol w:w="4680"/>
      </w:tblGrid>
      <w:tr>
        <w:tc>
          <w:tcPr>
            <w:tcW w:type="dxa" w:w="5616"/>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مصدر الوفر</w:t>
            </w:r>
            <w:r>
              <w:br/>
            </w:r>
            <w:r>
              <w:rPr>
                <w:rFonts w:ascii="IBM Plex Sans" w:hAnsi="IBM Plex Sans" w:cs="IBM Plex Sans"/>
                <w:b/>
                <w:color w:val="F9F6EF"/>
                <w:sz w:val="19"/>
                <w:szCs w:val="19"/>
              </w:rPr>
              <w:t>Saving source</w:t>
            </w:r>
          </w:p>
        </w:tc>
        <w:tc>
          <w:tcPr>
            <w:tcW w:type="dxa" w:w="3744"/>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الوفر السنوي (50 مركبة)</w:t>
            </w:r>
            <w:r>
              <w:br/>
            </w:r>
            <w:r>
              <w:rPr>
                <w:rFonts w:ascii="IBM Plex Sans" w:hAnsi="IBM Plex Sans" w:cs="IBM Plex Sans"/>
                <w:b/>
                <w:color w:val="F9F6EF"/>
                <w:sz w:val="19"/>
                <w:szCs w:val="19"/>
              </w:rPr>
              <w:t>Annual saving (50 vehicles)</w:t>
            </w:r>
          </w:p>
        </w:tc>
      </w:tr>
      <w:tr>
        <w:tc>
          <w:tcPr>
            <w:tcW w:type="dxa" w:w="5616"/>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خفض هدر الوقود (~17%) / Fuel-waste reduction (~17%)</w:t>
            </w:r>
          </w:p>
        </w:tc>
        <w:tc>
          <w:tcPr>
            <w:tcW w:type="dxa" w:w="3744"/>
            <w:tcMar>
              <w:top w:w="60" w:type="dxa"/>
              <w:bottom w:w="60" w:type="dxa"/>
              <w:start w:w="110" w:type="dxa"/>
              <w:end w:w="110" w:type="dxa"/>
            </w:tcMar>
          </w:tcPr>
          <w:p>
            <w:r>
              <w:rPr>
                <w:rFonts w:ascii="IBM Plex Sans" w:hAnsi="IBM Plex Sans" w:cs="IBM Plex Sans"/>
                <w:b w:val="0"/>
                <w:color w:val="222222"/>
                <w:sz w:val="19"/>
                <w:szCs w:val="19"/>
              </w:rPr>
              <w:t>$15,000 – $25,000</w:t>
            </w:r>
          </w:p>
        </w:tc>
      </w:tr>
      <w:tr>
        <w:tc>
          <w:tcPr>
            <w:tcW w:type="dxa" w:w="5616"/>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خفض توقّف المركبات / Reduced vehicle downtime</w:t>
            </w:r>
          </w:p>
        </w:tc>
        <w:tc>
          <w:tcPr>
            <w:tcW w:type="dxa" w:w="3744"/>
            <w:tcMar>
              <w:top w:w="60" w:type="dxa"/>
              <w:bottom w:w="60" w:type="dxa"/>
              <w:start w:w="110" w:type="dxa"/>
              <w:end w:w="110" w:type="dxa"/>
            </w:tcMar>
            <w:shd w:val="clear" w:color="auto" w:fill="E7ECE8"/>
          </w:tcPr>
          <w:p>
            <w:r>
              <w:rPr>
                <w:rFonts w:ascii="IBM Plex Sans" w:hAnsi="IBM Plex Sans" w:cs="IBM Plex Sans"/>
                <w:b w:val="0"/>
                <w:color w:val="222222"/>
                <w:sz w:val="19"/>
                <w:szCs w:val="19"/>
              </w:rPr>
              <w:t>~$10,000</w:t>
            </w:r>
          </w:p>
        </w:tc>
      </w:tr>
      <w:tr>
        <w:tc>
          <w:tcPr>
            <w:tcW w:type="dxa" w:w="5616"/>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إلغاء أعمال التقارير اليدوية / Manual reporting eliminated</w:t>
            </w:r>
          </w:p>
        </w:tc>
        <w:tc>
          <w:tcPr>
            <w:tcW w:type="dxa" w:w="3744"/>
            <w:tcMar>
              <w:top w:w="60" w:type="dxa"/>
              <w:bottom w:w="60" w:type="dxa"/>
              <w:start w:w="110" w:type="dxa"/>
              <w:end w:w="110" w:type="dxa"/>
            </w:tcMar>
          </w:tcPr>
          <w:p>
            <w:r>
              <w:rPr>
                <w:rFonts w:ascii="IBM Plex Sans" w:hAnsi="IBM Plex Sans" w:cs="IBM Plex Sans"/>
                <w:b w:val="0"/>
                <w:color w:val="222222"/>
                <w:sz w:val="19"/>
                <w:szCs w:val="19"/>
              </w:rPr>
              <w:t>~$8,000</w:t>
            </w:r>
          </w:p>
        </w:tc>
      </w:tr>
      <w:tr>
        <w:tc>
          <w:tcPr>
            <w:tcW w:type="dxa" w:w="5616"/>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الإجمالي / Total</w:t>
            </w:r>
          </w:p>
        </w:tc>
        <w:tc>
          <w:tcPr>
            <w:tcW w:type="dxa" w:w="3744"/>
            <w:tcMar>
              <w:top w:w="60" w:type="dxa"/>
              <w:bottom w:w="60" w:type="dxa"/>
              <w:start w:w="110" w:type="dxa"/>
              <w:end w:w="110" w:type="dxa"/>
            </w:tcMar>
            <w:shd w:val="clear" w:color="auto" w:fill="E7ECE8"/>
          </w:tcPr>
          <w:p>
            <w:r>
              <w:rPr>
                <w:rFonts w:ascii="IBM Plex Sans" w:hAnsi="IBM Plex Sans" w:cs="IBM Plex Sans"/>
                <w:b w:val="0"/>
                <w:color w:val="222222"/>
                <w:sz w:val="19"/>
                <w:szCs w:val="19"/>
              </w:rPr>
              <w:t>$33,000 – $43,000</w:t>
            </w:r>
          </w:p>
        </w:tc>
      </w:tr>
    </w:tbl>
    <w:p>
      <w:pPr>
        <w:spacing w:after="160" w:before="0"/>
      </w:pPr>
      <w:r>
        <w:rPr>
          <w:rFonts w:ascii="IBM Plex Sans" w:hAnsi="IBM Plex Sans" w:cs="IBM Plex Sans"/>
          <w:b w:val="0"/>
          <w:color w:val="333333"/>
          <w:sz w:val="21"/>
          <w:szCs w:val="21"/>
        </w:rPr>
      </w:r>
    </w:p>
    <w:p>
      <w:pPr>
        <w:bidi/>
        <w:spacing w:after="20" w:before="0"/>
        <w:jc w:val="right"/>
      </w:pPr>
      <w:r>
        <w:rPr>
          <w:rFonts w:ascii="IBM Plex Sans Arabic" w:hAnsi="IBM Plex Sans Arabic" w:cs="IBM Plex Sans Arabic"/>
          <w:b w:val="0"/>
          <w:color w:val="0D1B2A"/>
          <w:sz w:val="22"/>
          <w:szCs w:val="22"/>
          <w:rtl/>
        </w:rPr>
        <w:t>بمقابل استثمار 3,000 دولار، يتراوح العائد بين 11:1 و14:1 مع تعادل في الشهر الأول، فضلاً عن فتح تمويل دولي يتراوح بين 149,000 و530,000 دولار.</w:t>
      </w:r>
    </w:p>
    <w:p>
      <w:pPr>
        <w:spacing w:after="180" w:before="0"/>
      </w:pPr>
      <w:r>
        <w:rPr>
          <w:rFonts w:ascii="IBM Plex Sans" w:hAnsi="IBM Plex Sans" w:cs="IBM Plex Sans"/>
          <w:b w:val="0"/>
          <w:color w:val="333333"/>
          <w:sz w:val="21"/>
          <w:szCs w:val="21"/>
        </w:rPr>
        <w:t>Against a USD 3,000 investment, the return is 11:1 to 14:1 with break-even in Month 1, plus access to USD 149,000–530,000 in international grant funding.</w:t>
      </w:r>
    </w:p>
    <w:p>
      <w:pPr>
        <w:bidi/>
        <w:spacing w:before="240" w:after="0"/>
        <w:jc w:val="right"/>
      </w:pPr>
      <w:r>
        <w:rPr>
          <w:rFonts w:ascii="IBM Plex Sans Arabic" w:hAnsi="IBM Plex Sans Arabic" w:cs="IBM Plex Sans Arabic"/>
          <w:b/>
          <w:color w:val="1B4332"/>
          <w:sz w:val="34"/>
          <w:szCs w:val="34"/>
          <w:rtl/>
        </w:rPr>
        <w:t>التسعير والمرحلة الثانية</w:t>
      </w:r>
    </w:p>
    <w:p>
      <w:pPr>
        <w:spacing w:before="0" w:after="100"/>
      </w:pPr>
      <w:r>
        <w:rPr>
          <w:rFonts w:ascii="IBM Plex Sans" w:hAnsi="IBM Plex Sans" w:cs="IBM Plex Sans"/>
          <w:b/>
          <w:color w:val="1B4332"/>
          <w:sz w:val="30"/>
          <w:szCs w:val="30"/>
        </w:rPr>
        <w:t>Pricing &amp; Phase 2</w:t>
      </w:r>
    </w:p>
    <w:tbl>
      <w:tblPr>
        <w:tblW w:type="auto" w:w="0"/>
        <w:jc w:val="center"/>
        <w:tblLook w:firstColumn="1" w:firstRow="1" w:lastColumn="0" w:lastRow="0" w:noHBand="0" w:noVBand="1" w:val="04A0"/>
        <w:tblBorders>
          <w:top w:val="single" w:sz="4" w:space="0" w:color="D8D8D0"/>
          <w:left w:val="single" w:sz="4" w:space="0" w:color="D8D8D0"/>
          <w:bottom w:val="single" w:sz="4" w:space="0" w:color="D8D8D0"/>
          <w:right w:val="single" w:sz="4" w:space="0" w:color="D8D8D0"/>
          <w:insideH w:val="single" w:sz="4" w:space="0" w:color="D8D8D0"/>
          <w:insideV w:val="single" w:sz="4" w:space="0" w:color="D8D8D0"/>
        </w:tblBorders>
      </w:tblPr>
      <w:tblGrid>
        <w:gridCol w:w="3120"/>
        <w:gridCol w:w="3120"/>
        <w:gridCol w:w="3120"/>
      </w:tblGrid>
      <w:tr>
        <w:tc>
          <w:tcPr>
            <w:tcW w:type="dxa" w:w="2808"/>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الباقة</w:t>
            </w:r>
            <w:r>
              <w:br/>
            </w:r>
            <w:r>
              <w:rPr>
                <w:rFonts w:ascii="IBM Plex Sans" w:hAnsi="IBM Plex Sans" w:cs="IBM Plex Sans"/>
                <w:b/>
                <w:color w:val="F9F6EF"/>
                <w:sz w:val="19"/>
                <w:szCs w:val="19"/>
              </w:rPr>
              <w:t>Tier</w:t>
            </w:r>
          </w:p>
        </w:tc>
        <w:tc>
          <w:tcPr>
            <w:tcW w:type="dxa" w:w="3182"/>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حجم الأسطول</w:t>
            </w:r>
            <w:r>
              <w:br/>
            </w:r>
            <w:r>
              <w:rPr>
                <w:rFonts w:ascii="IBM Plex Sans" w:hAnsi="IBM Plex Sans" w:cs="IBM Plex Sans"/>
                <w:b/>
                <w:color w:val="F9F6EF"/>
                <w:sz w:val="19"/>
                <w:szCs w:val="19"/>
              </w:rPr>
              <w:t>Fleet size</w:t>
            </w:r>
          </w:p>
        </w:tc>
        <w:tc>
          <w:tcPr>
            <w:tcW w:type="dxa" w:w="3369"/>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الرسم الشهري</w:t>
            </w:r>
            <w:r>
              <w:br/>
            </w:r>
            <w:r>
              <w:rPr>
                <w:rFonts w:ascii="IBM Plex Sans" w:hAnsi="IBM Plex Sans" w:cs="IBM Plex Sans"/>
                <w:b/>
                <w:color w:val="F9F6EF"/>
                <w:sz w:val="19"/>
                <w:szCs w:val="19"/>
              </w:rPr>
              <w:t>Monthly fee</w:t>
            </w:r>
          </w:p>
        </w:tc>
      </w:tr>
      <w:tr>
        <w:tc>
          <w:tcPr>
            <w:tcW w:type="dxa" w:w="2808"/>
            <w:tcMar>
              <w:top w:w="60" w:type="dxa"/>
              <w:bottom w:w="60" w:type="dxa"/>
              <w:start w:w="110" w:type="dxa"/>
              <w:end w:w="110" w:type="dxa"/>
            </w:tcMar>
          </w:tcPr>
          <w:p>
            <w:r>
              <w:rPr>
                <w:rFonts w:ascii="IBM Plex Sans" w:hAnsi="IBM Plex Sans" w:cs="IBM Plex Sans"/>
                <w:b w:val="0"/>
                <w:color w:val="222222"/>
                <w:sz w:val="19"/>
                <w:szCs w:val="19"/>
              </w:rPr>
              <w:t>Starter</w:t>
            </w:r>
          </w:p>
        </w:tc>
        <w:tc>
          <w:tcPr>
            <w:tcW w:type="dxa" w:w="3182"/>
            <w:tcMar>
              <w:top w:w="60" w:type="dxa"/>
              <w:bottom w:w="60" w:type="dxa"/>
              <w:start w:w="110" w:type="dxa"/>
              <w:end w:w="110" w:type="dxa"/>
            </w:tcMar>
          </w:tcPr>
          <w:p>
            <w:r>
              <w:rPr>
                <w:rFonts w:ascii="IBM Plex Sans" w:hAnsi="IBM Plex Sans" w:cs="IBM Plex Sans"/>
                <w:b w:val="0"/>
                <w:color w:val="222222"/>
                <w:sz w:val="19"/>
                <w:szCs w:val="19"/>
              </w:rPr>
              <w:t>≤ 50</w:t>
            </w:r>
          </w:p>
        </w:tc>
        <w:tc>
          <w:tcPr>
            <w:tcW w:type="dxa" w:w="3369"/>
            <w:tcMar>
              <w:top w:w="60" w:type="dxa"/>
              <w:bottom w:w="60" w:type="dxa"/>
              <w:start w:w="110" w:type="dxa"/>
              <w:end w:w="110" w:type="dxa"/>
            </w:tcMar>
          </w:tcPr>
          <w:p>
            <w:r>
              <w:rPr>
                <w:rFonts w:ascii="IBM Plex Sans" w:hAnsi="IBM Plex Sans" w:cs="IBM Plex Sans"/>
                <w:b w:val="0"/>
                <w:color w:val="222222"/>
                <w:sz w:val="19"/>
                <w:szCs w:val="19"/>
              </w:rPr>
              <w:t>$500 (≈ SYP 57,750)</w:t>
            </w:r>
          </w:p>
        </w:tc>
      </w:tr>
      <w:tr>
        <w:tc>
          <w:tcPr>
            <w:tcW w:type="dxa" w:w="2808"/>
            <w:tcMar>
              <w:top w:w="60" w:type="dxa"/>
              <w:bottom w:w="60" w:type="dxa"/>
              <w:start w:w="110" w:type="dxa"/>
              <w:end w:w="110" w:type="dxa"/>
            </w:tcMar>
            <w:shd w:val="clear" w:color="auto" w:fill="E7ECE8"/>
          </w:tcPr>
          <w:p>
            <w:r>
              <w:rPr>
                <w:rFonts w:ascii="IBM Plex Sans" w:hAnsi="IBM Plex Sans" w:cs="IBM Plex Sans"/>
                <w:b w:val="0"/>
                <w:color w:val="222222"/>
                <w:sz w:val="19"/>
                <w:szCs w:val="19"/>
              </w:rPr>
              <w:t>Professional</w:t>
            </w:r>
          </w:p>
        </w:tc>
        <w:tc>
          <w:tcPr>
            <w:tcW w:type="dxa" w:w="3182"/>
            <w:tcMar>
              <w:top w:w="60" w:type="dxa"/>
              <w:bottom w:w="60" w:type="dxa"/>
              <w:start w:w="110" w:type="dxa"/>
              <w:end w:w="110" w:type="dxa"/>
            </w:tcMar>
            <w:shd w:val="clear" w:color="auto" w:fill="E7ECE8"/>
          </w:tcPr>
          <w:p>
            <w:r>
              <w:rPr>
                <w:rFonts w:ascii="IBM Plex Sans" w:hAnsi="IBM Plex Sans" w:cs="IBM Plex Sans"/>
                <w:b w:val="0"/>
                <w:color w:val="222222"/>
                <w:sz w:val="19"/>
                <w:szCs w:val="19"/>
              </w:rPr>
              <w:t>≤ 200</w:t>
            </w:r>
          </w:p>
        </w:tc>
        <w:tc>
          <w:tcPr>
            <w:tcW w:type="dxa" w:w="3369"/>
            <w:tcMar>
              <w:top w:w="60" w:type="dxa"/>
              <w:bottom w:w="60" w:type="dxa"/>
              <w:start w:w="110" w:type="dxa"/>
              <w:end w:w="110" w:type="dxa"/>
            </w:tcMar>
            <w:shd w:val="clear" w:color="auto" w:fill="E7ECE8"/>
          </w:tcPr>
          <w:p>
            <w:r>
              <w:rPr>
                <w:rFonts w:ascii="IBM Plex Sans" w:hAnsi="IBM Plex Sans" w:cs="IBM Plex Sans"/>
                <w:b w:val="0"/>
                <w:color w:val="222222"/>
                <w:sz w:val="19"/>
                <w:szCs w:val="19"/>
              </w:rPr>
              <w:t>$1,500 (≈ SYP 173,250)</w:t>
            </w:r>
          </w:p>
        </w:tc>
      </w:tr>
      <w:tr>
        <w:tc>
          <w:tcPr>
            <w:tcW w:type="dxa" w:w="2808"/>
            <w:tcMar>
              <w:top w:w="60" w:type="dxa"/>
              <w:bottom w:w="60" w:type="dxa"/>
              <w:start w:w="110" w:type="dxa"/>
              <w:end w:w="110" w:type="dxa"/>
            </w:tcMar>
          </w:tcPr>
          <w:p>
            <w:r>
              <w:rPr>
                <w:rFonts w:ascii="IBM Plex Sans" w:hAnsi="IBM Plex Sans" w:cs="IBM Plex Sans"/>
                <w:b w:val="0"/>
                <w:color w:val="222222"/>
                <w:sz w:val="19"/>
                <w:szCs w:val="19"/>
              </w:rPr>
              <w:t>Enterprise</w:t>
            </w:r>
          </w:p>
        </w:tc>
        <w:tc>
          <w:tcPr>
            <w:tcW w:type="dxa" w:w="3182"/>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غير محدود / Unlimited</w:t>
            </w:r>
          </w:p>
        </w:tc>
        <w:tc>
          <w:tcPr>
            <w:tcW w:type="dxa" w:w="3369"/>
            <w:tcMar>
              <w:top w:w="60" w:type="dxa"/>
              <w:bottom w:w="60" w:type="dxa"/>
              <w:start w:w="110" w:type="dxa"/>
              <w:end w:w="110" w:type="dxa"/>
            </w:tcMar>
          </w:tcPr>
          <w:p>
            <w:r>
              <w:rPr>
                <w:rFonts w:ascii="IBM Plex Sans" w:hAnsi="IBM Plex Sans" w:cs="IBM Plex Sans"/>
                <w:b w:val="0"/>
                <w:color w:val="222222"/>
                <w:sz w:val="19"/>
                <w:szCs w:val="19"/>
              </w:rPr>
              <w:t>$5,000+ (≈ SYP 577,500)</w:t>
            </w:r>
          </w:p>
        </w:tc>
      </w:tr>
    </w:tbl>
    <w:p>
      <w:pPr>
        <w:spacing w:after="160" w:before="0"/>
      </w:pPr>
      <w:r>
        <w:rPr>
          <w:rFonts w:ascii="IBM Plex Sans" w:hAnsi="IBM Plex Sans" w:cs="IBM Plex Sans"/>
          <w:b w:val="0"/>
          <w:color w:val="333333"/>
          <w:sz w:val="21"/>
          <w:szCs w:val="21"/>
        </w:rPr>
      </w:r>
    </w:p>
    <w:p>
      <w:pPr>
        <w:bidi/>
        <w:spacing w:after="20" w:before="0"/>
        <w:jc w:val="right"/>
      </w:pPr>
      <w:r>
        <w:rPr>
          <w:rFonts w:ascii="IBM Plex Sans Arabic" w:hAnsi="IBM Plex Sans Arabic" w:cs="IBM Plex Sans Arabic"/>
          <w:b w:val="0"/>
          <w:color w:val="0D1B2A"/>
          <w:sz w:val="22"/>
          <w:szCs w:val="22"/>
          <w:rtl/>
        </w:rPr>
        <w:t>المرحلة الثانية (الشهر 7 فصاعداً): 500 مركبة لدى كل المشغّلين الرئيسيين، عقد 12 شهراً بـ5,000 دولار شهرياً (60,000 دولار سنوياً)، مع تكامل GTFS كامل لدمشق على خرائط Google.</w:t>
      </w:r>
    </w:p>
    <w:p>
      <w:pPr>
        <w:spacing w:after="180" w:before="0"/>
      </w:pPr>
      <w:r>
        <w:rPr>
          <w:rFonts w:ascii="IBM Plex Sans" w:hAnsi="IBM Plex Sans" w:cs="IBM Plex Sans"/>
          <w:b w:val="0"/>
          <w:color w:val="333333"/>
          <w:sz w:val="21"/>
          <w:szCs w:val="21"/>
        </w:rPr>
        <w:t>Phase 2 (Month 7+): 500 vehicles across all major operators, a 12-month contract at USD 5,000/month (USD 60,000/year), with full Damascus GTFS integration on Google Maps.</w:t>
      </w:r>
    </w:p>
    <w:p>
      <w:r>
        <w:br w:type="page"/>
      </w:r>
    </w:p>
    <w:p>
      <w:pPr>
        <w:bidi/>
        <w:spacing w:before="240" w:after="0"/>
        <w:jc w:val="right"/>
      </w:pPr>
      <w:r>
        <w:rPr>
          <w:rFonts w:ascii="IBM Plex Sans Arabic" w:hAnsi="IBM Plex Sans Arabic" w:cs="IBM Plex Sans Arabic"/>
          <w:b/>
          <w:color w:val="1B4332"/>
          <w:sz w:val="34"/>
          <w:szCs w:val="34"/>
          <w:rtl/>
        </w:rPr>
        <w:t>الإطار القانوني وسيادة البيانات</w:t>
      </w:r>
    </w:p>
    <w:p>
      <w:pPr>
        <w:spacing w:before="0" w:after="100"/>
      </w:pPr>
      <w:r>
        <w:rPr>
          <w:rFonts w:ascii="IBM Plex Sans" w:hAnsi="IBM Plex Sans" w:cs="IBM Plex Sans"/>
          <w:b/>
          <w:color w:val="1B4332"/>
          <w:sz w:val="30"/>
          <w:szCs w:val="30"/>
        </w:rPr>
        <w:t>Legal Framework &amp; Data Sovereignty</w:t>
      </w:r>
    </w:p>
    <w:p>
      <w:pPr>
        <w:bidi/>
        <w:spacing w:after="20" w:before="0"/>
        <w:jc w:val="right"/>
      </w:pPr>
      <w:r>
        <w:rPr>
          <w:rFonts w:ascii="IBM Plex Sans Arabic" w:hAnsi="IBM Plex Sans Arabic" w:cs="IBM Plex Sans Arabic"/>
          <w:b w:val="0"/>
          <w:color w:val="0D1B2A"/>
          <w:sz w:val="22"/>
          <w:szCs w:val="22"/>
          <w:rtl/>
        </w:rPr>
        <w:t>المنصّة ممتثلة جوهرياً لقانون النقل رقم 12/2024 ولمرسوم حماية البيانات الشخصية 2023: موقع المركبات متاح للوزارة عبر واجهة برمجية، والبيانات مشفّرة (TLS 1.3 وAES-256)، وهوية السائق لا تُكشف لأطراف ثالثة دون موافقة. ستُقدَّم رخصة النقل الرقمي (الفئة B) خلال 30 يوماً من توقيع المذكّرة.</w:t>
      </w:r>
    </w:p>
    <w:p>
      <w:pPr>
        <w:spacing w:after="180" w:before="0"/>
      </w:pPr>
      <w:r>
        <w:rPr>
          <w:rFonts w:ascii="IBM Plex Sans" w:hAnsi="IBM Plex Sans" w:cs="IBM Plex Sans"/>
          <w:b w:val="0"/>
          <w:color w:val="333333"/>
          <w:sz w:val="21"/>
          <w:szCs w:val="21"/>
        </w:rPr>
        <w:t>The platform is substantially compliant with Transport Law 12/2024 and the 2023 Personal Data Protection Decree: vehicle positions are available to the Ministry via API, data is encrypted (TLS 1.3 and AES-256), and driver identity is not disclosed to third parties without consent. The Class B Digital Transport License will be filed within 30 days of MoU signing.</w:t>
      </w:r>
    </w:p>
    <w:p>
      <w:pPr>
        <w:bidi/>
        <w:spacing w:after="20" w:before="0"/>
        <w:jc w:val="right"/>
      </w:pPr>
      <w:r>
        <w:rPr>
          <w:rFonts w:ascii="IBM Plex Sans Arabic" w:hAnsi="IBM Plex Sans Arabic" w:cs="IBM Plex Sans Arabic"/>
          <w:b w:val="0"/>
          <w:color w:val="0D1B2A"/>
          <w:sz w:val="22"/>
          <w:szCs w:val="22"/>
          <w:rtl/>
        </w:rPr>
        <w:t>تبقى البيانات قابلة للتصدير الكامل (PostgreSQL قياسي) مع خطة للانتقال إلى استضافة داخل سورية مع تعافي قدرات مراكز البيانات. لا تُعالَج بيانات دفع ولا بيانات حيوية في النسخة الحالية.</w:t>
      </w:r>
    </w:p>
    <w:p>
      <w:pPr>
        <w:spacing w:after="180" w:before="0"/>
      </w:pPr>
      <w:r>
        <w:rPr>
          <w:rFonts w:ascii="IBM Plex Sans" w:hAnsi="IBM Plex Sans" w:cs="IBM Plex Sans"/>
          <w:b w:val="0"/>
          <w:color w:val="333333"/>
          <w:sz w:val="21"/>
          <w:szCs w:val="21"/>
        </w:rPr>
        <w:t>Data remains fully exportable (standard PostgreSQL) with a roadmap to migrate to Syria-hosted infrastructure as data-center capacity recovers. No payment data and no biometric data are processed in the current version.</w:t>
      </w:r>
    </w:p>
    <w:p>
      <w:pPr>
        <w:bidi/>
        <w:spacing w:before="240" w:after="0"/>
        <w:jc w:val="right"/>
      </w:pPr>
      <w:r>
        <w:rPr>
          <w:rFonts w:ascii="IBM Plex Sans Arabic" w:hAnsi="IBM Plex Sans Arabic" w:cs="IBM Plex Sans Arabic"/>
          <w:b/>
          <w:color w:val="1B4332"/>
          <w:sz w:val="34"/>
          <w:szCs w:val="34"/>
          <w:rtl/>
        </w:rPr>
        <w:t>رؤية مستقبلية: التكامل مع وزارة الداخلية (المخالفات والتقارير)</w:t>
      </w:r>
    </w:p>
    <w:p>
      <w:pPr>
        <w:spacing w:before="0" w:after="100"/>
      </w:pPr>
      <w:r>
        <w:rPr>
          <w:rFonts w:ascii="IBM Plex Sans" w:hAnsi="IBM Plex Sans" w:cs="IBM Plex Sans"/>
          <w:b/>
          <w:color w:val="1B4332"/>
          <w:sz w:val="30"/>
          <w:szCs w:val="30"/>
        </w:rPr>
        <w:t>Future Vision: Integration with the Ministry of Interior (Fines &amp; Reports)</w:t>
      </w:r>
    </w:p>
    <w:p>
      <w:pPr>
        <w:bidi/>
        <w:spacing w:after="20" w:before="0"/>
        <w:jc w:val="right"/>
      </w:pPr>
      <w:r>
        <w:rPr>
          <w:rFonts w:ascii="IBM Plex Sans Arabic" w:hAnsi="IBM Plex Sans Arabic" w:cs="IBM Plex Sans Arabic"/>
          <w:b w:val="0"/>
          <w:color w:val="0D1B2A"/>
          <w:sz w:val="22"/>
          <w:szCs w:val="22"/>
          <w:rtl/>
        </w:rPr>
        <w:t>في مرحلة لاحقة (المرحلة 3+)، يمكن ربط المنصّة بأنظمة وزارة الداخلية لتحويل بيانات الموقع إلى قيمة تنظيمية، ضمن حوكمة قانون 12/2024 ومرسوم حماية البيانات، وبصلاحيات حسب الدور وسجلّ تدقيق كامل.</w:t>
      </w:r>
    </w:p>
    <w:p>
      <w:pPr>
        <w:spacing w:after="180" w:before="0"/>
      </w:pPr>
      <w:r>
        <w:rPr>
          <w:rFonts w:ascii="IBM Plex Sans" w:hAnsi="IBM Plex Sans" w:cs="IBM Plex Sans"/>
          <w:b w:val="0"/>
          <w:color w:val="333333"/>
          <w:sz w:val="21"/>
          <w:szCs w:val="21"/>
        </w:rPr>
        <w:t>In a later phase (Phase 3+), the platform can connect to Ministry of Interior systems to turn location data into regulatory value — governed by Law 12/2024 and the data-protection decree, with role-based access and a full audit log.</w:t>
      </w:r>
    </w:p>
    <w:tbl>
      <w:tblPr>
        <w:tblW w:type="auto" w:w="0"/>
        <w:jc w:val="center"/>
        <w:tblLook w:firstColumn="1" w:firstRow="1" w:lastColumn="0" w:lastRow="0" w:noHBand="0" w:noVBand="1" w:val="04A0"/>
        <w:tblBorders>
          <w:top w:val="single" w:sz="4" w:space="0" w:color="D8D8D0"/>
          <w:left w:val="single" w:sz="4" w:space="0" w:color="D8D8D0"/>
          <w:bottom w:val="single" w:sz="4" w:space="0" w:color="D8D8D0"/>
          <w:right w:val="single" w:sz="4" w:space="0" w:color="D8D8D0"/>
          <w:insideH w:val="single" w:sz="4" w:space="0" w:color="D8D8D0"/>
          <w:insideV w:val="single" w:sz="4" w:space="0" w:color="D8D8D0"/>
        </w:tblBorders>
      </w:tblPr>
      <w:tblGrid>
        <w:gridCol w:w="4680"/>
        <w:gridCol w:w="4680"/>
      </w:tblGrid>
      <w:tr>
        <w:tc>
          <w:tcPr>
            <w:tcW w:type="dxa" w:w="2808"/>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المجال</w:t>
            </w:r>
            <w:r>
              <w:br/>
            </w:r>
            <w:r>
              <w:rPr>
                <w:rFonts w:ascii="IBM Plex Sans" w:hAnsi="IBM Plex Sans" w:cs="IBM Plex Sans"/>
                <w:b/>
                <w:color w:val="F9F6EF"/>
                <w:sz w:val="19"/>
                <w:szCs w:val="19"/>
              </w:rPr>
              <w:t>Area</w:t>
            </w:r>
          </w:p>
        </w:tc>
        <w:tc>
          <w:tcPr>
            <w:tcW w:type="dxa" w:w="6552"/>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الوصف</w:t>
            </w:r>
            <w:r>
              <w:br/>
            </w:r>
            <w:r>
              <w:rPr>
                <w:rFonts w:ascii="IBM Plex Sans" w:hAnsi="IBM Plex Sans" w:cs="IBM Plex Sans"/>
                <w:b/>
                <w:color w:val="F9F6EF"/>
                <w:sz w:val="19"/>
                <w:szCs w:val="19"/>
              </w:rPr>
              <w:t>Description</w:t>
            </w:r>
          </w:p>
        </w:tc>
      </w:tr>
      <w:tr>
        <w:tc>
          <w:tcPr>
            <w:tcW w:type="dxa" w:w="2808"/>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المخالفات المرورية الآلية / Automated traffic fines</w:t>
            </w:r>
          </w:p>
        </w:tc>
        <w:tc>
          <w:tcPr>
            <w:tcW w:type="dxa" w:w="6552"/>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كشف تجاوز السرعة والانحراف عن المسار من بيانات GPS وإحالتها لنظام مخالفات الداخلية / Detect speeding &amp; route violations from GPS and refer them to the MoI fines system</w:t>
            </w:r>
          </w:p>
        </w:tc>
      </w:tr>
      <w:tr>
        <w:tc>
          <w:tcPr>
            <w:tcW w:type="dxa" w:w="2808"/>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تقارير الحوادث / Incident &amp; accident reports</w:t>
            </w:r>
          </w:p>
        </w:tc>
        <w:tc>
          <w:tcPr>
            <w:tcW w:type="dxa" w:w="6552"/>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مشاركة بلاغات السائق/الراكب مع مسار GPS لأغراض التحقيق / Share driver/passenger reports with the GPS trail for investigation</w:t>
            </w:r>
          </w:p>
        </w:tc>
      </w:tr>
      <w:tr>
        <w:tc>
          <w:tcPr>
            <w:tcW w:type="dxa" w:w="2808"/>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التحقّق من المركبات / Vehicle &amp; plate verification</w:t>
            </w:r>
          </w:p>
        </w:tc>
        <w:tc>
          <w:tcPr>
            <w:tcW w:type="dxa" w:w="6552"/>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مطابقة الأسطول مع سجلّ تسجيل المركبات لدى الداخلية / Cross-check the fleet against MoI vehicle-registration records</w:t>
            </w:r>
          </w:p>
        </w:tc>
      </w:tr>
      <w:tr>
        <w:tc>
          <w:tcPr>
            <w:tcW w:type="dxa" w:w="2808"/>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زر الطوارئ (SOS) / Emergency SOS</w:t>
            </w:r>
          </w:p>
        </w:tc>
        <w:tc>
          <w:tcPr>
            <w:tcW w:type="dxa" w:w="6552"/>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توجيه نداء استغاثة السائق إلى غرفة طوارئ الداخلية مع الموقع الحيّ / Route a driver panic alert to MoI dispatch with live location</w:t>
            </w:r>
          </w:p>
        </w:tc>
      </w:tr>
    </w:tbl>
    <w:p>
      <w:pPr>
        <w:bidi/>
        <w:spacing w:before="240" w:after="0"/>
        <w:jc w:val="right"/>
      </w:pPr>
      <w:r>
        <w:rPr>
          <w:rFonts w:ascii="IBM Plex Sans Arabic" w:hAnsi="IBM Plex Sans Arabic" w:cs="IBM Plex Sans Arabic"/>
          <w:b/>
          <w:color w:val="1B4332"/>
          <w:sz w:val="34"/>
          <w:szCs w:val="34"/>
          <w:rtl/>
        </w:rPr>
        <w:t>الخطوات التالية والتواصل</w:t>
      </w:r>
    </w:p>
    <w:p>
      <w:pPr>
        <w:spacing w:before="0" w:after="100"/>
      </w:pPr>
      <w:r>
        <w:rPr>
          <w:rFonts w:ascii="IBM Plex Sans" w:hAnsi="IBM Plex Sans" w:cs="IBM Plex Sans"/>
          <w:b/>
          <w:color w:val="1B4332"/>
          <w:sz w:val="30"/>
          <w:szCs w:val="30"/>
        </w:rPr>
        <w:t>Next Steps &amp; Contact</w:t>
      </w:r>
    </w:p>
    <w:p>
      <w:pPr>
        <w:bidi/>
        <w:spacing w:after="20" w:before="0"/>
        <w:jc w:val="right"/>
      </w:pPr>
      <w:r>
        <w:rPr>
          <w:rFonts w:ascii="IBM Plex Sans Arabic" w:hAnsi="IBM Plex Sans Arabic" w:cs="IBM Plex Sans Arabic"/>
          <w:b w:val="0"/>
          <w:color w:val="0D1B2A"/>
          <w:sz w:val="22"/>
          <w:szCs w:val="22"/>
          <w:rtl/>
        </w:rPr>
        <w:t>نقترح عرضاً حيّاً للمنصّة خلال 48 ساعة، يتبعه مراجعة قانونية وتوقيع مذكّرة التفاهم. فريقنا جاهز للبدء فور التوقيع.</w:t>
      </w:r>
    </w:p>
    <w:p>
      <w:pPr>
        <w:spacing w:after="180" w:before="0"/>
      </w:pPr>
      <w:r>
        <w:rPr>
          <w:rFonts w:ascii="IBM Plex Sans" w:hAnsi="IBM Plex Sans" w:cs="IBM Plex Sans"/>
          <w:b w:val="0"/>
          <w:color w:val="333333"/>
          <w:sz w:val="21"/>
          <w:szCs w:val="21"/>
        </w:rPr>
        <w:t>We propose a live platform demonstration within 48 hours, followed by legal review and MoU signing. Our team is ready to begin immediately upon signature.</w:t>
      </w:r>
    </w:p>
    <w:p>
      <w:pPr>
        <w:spacing w:after="160" w:before="0"/>
      </w:pPr>
      <w:r>
        <w:rPr>
          <w:rFonts w:ascii="IBM Plex Sans" w:hAnsi="IBM Plex Sans" w:cs="IBM Plex Sans"/>
          <w:b/>
          <w:color w:val="1B4332"/>
          <w:sz w:val="21"/>
          <w:szCs w:val="21"/>
        </w:rPr>
        <w:t>Damascus Transit Technologies Ltd.  ·  ministry@damascustransit.com  ·  damascustransit.com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Sans" w:hAnsi="IBM Plex Sans" w:cs="IBM Plex Sans"/>
        <w:b w:val="0"/>
        <w:color w:val="7A7060"/>
        <w:sz w:val="16"/>
        <w:szCs w:val="16"/>
      </w:rPr>
      <w:t>© 2026 Damascus Transit Technologies Ltd.  ·  damascustransit.com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w:hAnsi="IBM Plex Sans" w:cs="IBM Plex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