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868680" cy="868680"/>
                    </a:xfrm>
                    <a:prstGeom prst="rect"/>
                  </pic:spPr>
                </pic:pic>
              </a:graphicData>
            </a:graphic>
          </wp:inline>
        </w:drawing>
      </w:r>
    </w:p>
    <w:p>
      <w:pPr>
        <w:spacing w:after="200"/>
      </w:pPr>
    </w:p>
    <w:tbl>
      <w:tblPr>
        <w:tblW w:type="auto" w:w="0"/>
        <w:jc w:val="center"/>
        <w:tblLook w:firstColumn="1" w:firstRow="1" w:lastColumn="0" w:lastRow="0" w:noHBand="0" w:noVBand="1" w:val="04A0"/>
      </w:tblPr>
      <w:tblGrid>
        <w:gridCol w:w="9360"/>
      </w:tblGrid>
      <w:tr>
        <w:tc>
          <w:tcPr>
            <w:tcW w:type="dxa" w:w="9360"/>
            <w:shd w:val="clear" w:color="auto" w:fill="1B4332"/>
            <w:tcMar>
              <w:top w:w="220" w:type="dxa"/>
              <w:bottom w:w="220" w:type="dxa"/>
              <w:start w:w="200" w:type="dxa"/>
              <w:end w:w="200" w:type="dxa"/>
            </w:tcMar>
          </w:tcPr>
          <w:p>
            <w:pPr>
              <w:bidi/>
              <w:spacing w:after="80"/>
              <w:jc w:val="right"/>
            </w:pPr>
            <w:r>
              <w:rPr>
                <w:rFonts w:ascii="IBM Plex Sans Arabic" w:hAnsi="IBM Plex Sans Arabic" w:cs="IBM Plex Sans Arabic"/>
                <w:b/>
                <w:color w:val="F9F6EF"/>
                <w:sz w:val="46"/>
                <w:szCs w:val="46"/>
                <w:rtl/>
              </w:rPr>
              <w:t>دراسة جدوى منصّة دمشق ترانزيت</w:t>
            </w:r>
          </w:p>
          <w:p>
            <w:pPr>
              <w:spacing w:before="0"/>
            </w:pPr>
            <w:r>
              <w:rPr>
                <w:rFonts w:ascii="IBM Plex Sans" w:hAnsi="IBM Plex Sans" w:cs="IBM Plex Sans"/>
                <w:b/>
                <w:color w:val="C4B47E"/>
                <w:sz w:val="36"/>
                <w:szCs w:val="36"/>
              </w:rPr>
              <w:t>DAM Platform Feasibility Study</w:t>
            </w:r>
          </w:p>
        </w:tc>
      </w:tr>
    </w:tbl>
    <w:p>
      <w:pPr>
        <w:spacing w:before="280"/>
        <w:bidi/>
        <w:jc w:val="right"/>
      </w:pPr>
      <w:r>
        <w:rPr>
          <w:rFonts w:ascii="IBM Plex Sans Arabic" w:hAnsi="IBM Plex Sans Arabic" w:cs="IBM Plex Sans Arabic"/>
          <w:b w:val="0"/>
          <w:color w:val="7A7060"/>
          <w:sz w:val="25"/>
          <w:szCs w:val="25"/>
          <w:rtl/>
        </w:rPr>
        <w:t>الجدوى السوقية والتقنية والتشغيلية والمالية والقانونية، وجدوى التوسّع</w:t>
      </w:r>
    </w:p>
    <w:p>
      <w:pPr>
        <w:spacing w:after="40"/>
      </w:pPr>
      <w:r>
        <w:rPr>
          <w:rFonts w:ascii="IBM Plex Sans" w:hAnsi="IBM Plex Sans" w:cs="IBM Plex Sans"/>
          <w:b w:val="0"/>
          <w:color w:val="7A7060"/>
          <w:sz w:val="22"/>
          <w:szCs w:val="22"/>
        </w:rPr>
        <w:t>Market, technical, operational, financial &amp; legal feasibility, plus expansion</w:t>
      </w:r>
    </w:p>
    <w:p>
      <w:pPr>
        <w:spacing w:before="40" w:after="120"/>
        <w:pBdr>
          <w:bottom w:val="single" w:sz="12" w:space="1" w:color="C4B47E"/>
        </w:pBdr>
      </w:pPr>
    </w:p>
    <w:p>
      <w:pPr>
        <w:bidi/>
        <w:jc w:val="right"/>
      </w:pPr>
      <w:r>
        <w:rPr>
          <w:rFonts w:ascii="IBM Plex Sans Arabic" w:hAnsi="IBM Plex Sans Arabic" w:cs="IBM Plex Sans Arabic"/>
          <w:b/>
          <w:color w:val="1B4332"/>
          <w:sz w:val="22"/>
          <w:szCs w:val="22"/>
          <w:rtl/>
        </w:rPr>
        <w:t>دراسة جدوى</w:t>
      </w:r>
    </w:p>
    <w:p>
      <w:r>
        <w:rPr>
          <w:rFonts w:ascii="IBM Plex Sans" w:hAnsi="IBM Plex Sans" w:cs="IBM Plex Sans"/>
          <w:b w:val="0"/>
          <w:color w:val="7A7060"/>
          <w:sz w:val="20"/>
          <w:szCs w:val="20"/>
        </w:rPr>
        <w:t>Feasibility Study   ·   June 2026</w:t>
      </w:r>
    </w:p>
    <w:p>
      <w:pPr>
        <w:spacing w:before="40"/>
      </w:pPr>
      <w:r>
        <w:rPr>
          <w:rFonts w:ascii="IBM Plex Sans" w:hAnsi="IBM Plex Sans" w:cs="IBM Plex Sans"/>
          <w:b w:val="0"/>
          <w:color w:val="7A7060"/>
          <w:sz w:val="18"/>
          <w:szCs w:val="18"/>
        </w:rPr>
        <w:t>سرّي — لاستخدام وزارة النقل   ·   Confidential — For Ministry of Transport use</w:t>
      </w:r>
    </w:p>
    <w:p>
      <w:r>
        <w:br w:type="page"/>
      </w:r>
    </w:p>
    <w:p>
      <w:pPr>
        <w:bidi/>
        <w:spacing w:before="240" w:after="0"/>
        <w:jc w:val="right"/>
      </w:pPr>
      <w:r>
        <w:rPr>
          <w:rFonts w:ascii="IBM Plex Sans Arabic" w:hAnsi="IBM Plex Sans Arabic" w:cs="IBM Plex Sans Arabic"/>
          <w:b/>
          <w:color w:val="1B4332"/>
          <w:sz w:val="34"/>
          <w:szCs w:val="34"/>
          <w:rtl/>
        </w:rPr>
        <w:t>الملخّص التنفيذي</w:t>
      </w:r>
    </w:p>
    <w:p>
      <w:pPr>
        <w:spacing w:before="0" w:after="100"/>
      </w:pPr>
      <w:r>
        <w:rPr>
          <w:rFonts w:ascii="IBM Plex Sans" w:hAnsi="IBM Plex Sans" w:cs="IBM Plex Sans"/>
          <w:b/>
          <w:color w:val="1B4332"/>
          <w:sz w:val="30"/>
          <w:szCs w:val="30"/>
        </w:rPr>
        <w:t>Executive Summary</w:t>
      </w:r>
    </w:p>
    <w:p>
      <w:pPr>
        <w:bidi/>
        <w:spacing w:after="20" w:before="0"/>
        <w:jc w:val="right"/>
      </w:pPr>
      <w:r>
        <w:rPr>
          <w:rFonts w:ascii="IBM Plex Sans Arabic" w:hAnsi="IBM Plex Sans Arabic" w:cs="IBM Plex Sans Arabic"/>
          <w:b w:val="0"/>
          <w:color w:val="0D1B2A"/>
          <w:sz w:val="22"/>
          <w:szCs w:val="22"/>
          <w:rtl/>
        </w:rPr>
        <w:t>تخلص هذه الدراسة إلى أنّ مشروع دمشق ترانزيت قابل للتنفيذ على جميع الأبعاد: سوق ضخم بلا منافس، ومنصّة مبنية وعاملة، وكلفة تشغيل قرب الصفر، وإطار قانوني داعم بعد رفع العقوبات في 2025. المخاطر الرئيسية تنظيمية ونقدية وجيوسياسية، وكلّها قابلة للتخفيف.</w:t>
      </w:r>
    </w:p>
    <w:p>
      <w:pPr>
        <w:spacing w:after="180" w:before="0"/>
      </w:pPr>
      <w:r>
        <w:rPr>
          <w:rFonts w:ascii="IBM Plex Sans" w:hAnsi="IBM Plex Sans" w:cs="IBM Plex Sans"/>
          <w:b w:val="0"/>
          <w:color w:val="333333"/>
          <w:sz w:val="21"/>
          <w:szCs w:val="21"/>
        </w:rPr>
        <w:t>This study finds the DAM project feasible across every dimension: a large market with no incumbent, a platform already built and live, near-zero operating cost, and a supportive legal framework after sanctions were lifted in 2025. The principal risks are regulatory, currency, and geopolitical — all mitigable.</w:t>
      </w:r>
    </w:p>
    <w:p>
      <w:pPr>
        <w:bidi/>
        <w:spacing w:before="240" w:after="0"/>
        <w:jc w:val="right"/>
      </w:pPr>
      <w:r>
        <w:rPr>
          <w:rFonts w:ascii="IBM Plex Sans Arabic" w:hAnsi="IBM Plex Sans Arabic" w:cs="IBM Plex Sans Arabic"/>
          <w:b/>
          <w:color w:val="1B4332"/>
          <w:sz w:val="34"/>
          <w:szCs w:val="34"/>
          <w:rtl/>
        </w:rPr>
        <w:t>١. الجدوى السوقية</w:t>
      </w:r>
    </w:p>
    <w:p>
      <w:pPr>
        <w:spacing w:before="0" w:after="100"/>
      </w:pPr>
      <w:r>
        <w:rPr>
          <w:rFonts w:ascii="IBM Plex Sans" w:hAnsi="IBM Plex Sans" w:cs="IBM Plex Sans"/>
          <w:b/>
          <w:color w:val="1B4332"/>
          <w:sz w:val="30"/>
          <w:szCs w:val="30"/>
        </w:rPr>
        <w:t>1. Market Feasibility</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5428"/>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المؤشّر</w:t>
            </w:r>
            <w:r>
              <w:br/>
            </w:r>
            <w:r>
              <w:rPr>
                <w:rFonts w:ascii="IBM Plex Sans" w:hAnsi="IBM Plex Sans" w:cs="IBM Plex Sans"/>
                <w:b/>
                <w:color w:val="F9F6EF"/>
                <w:sz w:val="19"/>
                <w:szCs w:val="19"/>
              </w:rPr>
              <w:t>Indicator</w:t>
            </w:r>
          </w:p>
        </w:tc>
        <w:tc>
          <w:tcPr>
            <w:tcW w:type="dxa" w:w="3931"/>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القيمة</w:t>
            </w:r>
            <w:r>
              <w:br/>
            </w:r>
            <w:r>
              <w:rPr>
                <w:rFonts w:ascii="IBM Plex Sans" w:hAnsi="IBM Plex Sans" w:cs="IBM Plex Sans"/>
                <w:b/>
                <w:color w:val="F9F6EF"/>
                <w:sz w:val="19"/>
                <w:szCs w:val="19"/>
              </w:rPr>
              <w:t>Value</w:t>
            </w:r>
          </w:p>
        </w:tc>
      </w:tr>
      <w:tr>
        <w:tc>
          <w:tcPr>
            <w:tcW w:type="dxa" w:w="542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السكّان المخدومون (دمشق الكبرى) / Population served</w:t>
            </w:r>
          </w:p>
        </w:tc>
        <w:tc>
          <w:tcPr>
            <w:tcW w:type="dxa" w:w="3931"/>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2.5–3.5 مليون / million</w:t>
            </w:r>
          </w:p>
        </w:tc>
      </w:tr>
      <w:tr>
        <w:tc>
          <w:tcPr>
            <w:tcW w:type="dxa" w:w="542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الرحلات اليومية / Daily ridership</w:t>
            </w:r>
          </w:p>
        </w:tc>
        <w:tc>
          <w:tcPr>
            <w:tcW w:type="dxa" w:w="3931"/>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1.8–2.2 مليون / million</w:t>
            </w:r>
          </w:p>
        </w:tc>
      </w:tr>
      <w:tr>
        <w:tc>
          <w:tcPr>
            <w:tcW w:type="dxa" w:w="542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مركبات النقل العام / Public-transit vehicles</w:t>
            </w:r>
          </w:p>
        </w:tc>
        <w:tc>
          <w:tcPr>
            <w:tcW w:type="dxa" w:w="3931"/>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~6,000 (ميكروباصات 4,200 / باصات 900 / تكاسي 900)</w:t>
            </w:r>
          </w:p>
        </w:tc>
      </w:tr>
      <w:tr>
        <w:tc>
          <w:tcPr>
            <w:tcW w:type="dxa" w:w="542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المشغّلون الخاصّون / Private operators</w:t>
            </w:r>
          </w:p>
        </w:tc>
        <w:tc>
          <w:tcPr>
            <w:tcW w:type="dxa" w:w="3931"/>
            <w:tcMar>
              <w:top w:w="60" w:type="dxa"/>
              <w:bottom w:w="60" w:type="dxa"/>
              <w:start w:w="110" w:type="dxa"/>
              <w:end w:w="110" w:type="dxa"/>
            </w:tcMar>
            <w:shd w:val="clear" w:color="auto" w:fill="E7ECE8"/>
          </w:tcPr>
          <w:p>
            <w:r>
              <w:rPr>
                <w:rFonts w:ascii="IBM Plex Sans" w:hAnsi="IBM Plex Sans" w:cs="IBM Plex Sans"/>
                <w:b w:val="0"/>
                <w:color w:val="222222"/>
                <w:sz w:val="19"/>
                <w:szCs w:val="19"/>
              </w:rPr>
              <w:t>200+</w:t>
            </w:r>
          </w:p>
        </w:tc>
      </w:tr>
      <w:tr>
        <w:tc>
          <w:tcPr>
            <w:tcW w:type="dxa" w:w="542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متوسّط الانتظار / Average wait</w:t>
            </w:r>
          </w:p>
        </w:tc>
        <w:tc>
          <w:tcPr>
            <w:tcW w:type="dxa" w:w="3931"/>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45 دقيقة / minutes</w:t>
            </w:r>
          </w:p>
        </w:tc>
      </w:tr>
      <w:tr>
        <w:tc>
          <w:tcPr>
            <w:tcW w:type="dxa" w:w="542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السوق المتاح بدمشق (10$/مركبة) / Damascus TAM</w:t>
            </w:r>
          </w:p>
        </w:tc>
        <w:tc>
          <w:tcPr>
            <w:tcW w:type="dxa" w:w="3931"/>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$720,000 سنوياً / per year</w:t>
            </w:r>
          </w:p>
        </w:tc>
      </w:tr>
      <w:tr>
        <w:tc>
          <w:tcPr>
            <w:tcW w:type="dxa" w:w="542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السوق على مستوى سورية / Syria-wide TAM</w:t>
            </w:r>
          </w:p>
        </w:tc>
        <w:tc>
          <w:tcPr>
            <w:tcW w:type="dxa" w:w="3931"/>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$3.6M – $12M سنوياً / per year</w:t>
            </w:r>
          </w:p>
        </w:tc>
      </w:tr>
    </w:tbl>
    <w:p>
      <w:pPr>
        <w:spacing w:after="160" w:before="0"/>
      </w:pPr>
      <w:r>
        <w:rPr>
          <w:rFonts w:ascii="IBM Plex Sans" w:hAnsi="IBM Plex Sans" w:cs="IBM Plex Sans"/>
          <w:b w:val="0"/>
          <w:color w:val="333333"/>
          <w:sz w:val="21"/>
          <w:szCs w:val="21"/>
        </w:rPr>
      </w:r>
    </w:p>
    <w:p>
      <w:pPr>
        <w:bidi/>
        <w:spacing w:after="20" w:before="0"/>
        <w:jc w:val="right"/>
      </w:pPr>
      <w:r>
        <w:rPr>
          <w:rFonts w:ascii="IBM Plex Sans Arabic" w:hAnsi="IBM Plex Sans Arabic" w:cs="IBM Plex Sans Arabic"/>
          <w:b w:val="0"/>
          <w:color w:val="0D1B2A"/>
          <w:sz w:val="22"/>
          <w:szCs w:val="22"/>
          <w:rtl/>
        </w:rPr>
        <w:t>الطلب مثبت: 60–70% من المتنقّلين يستخدمون النقل العام يومياً، ونحو 30% هجروه بسبب رداءته. خفض الانتظار 30 دقيقة يوفّر ~900,000 ساعة–فرد يومياً في دمشق.</w:t>
      </w:r>
    </w:p>
    <w:p>
      <w:pPr>
        <w:spacing w:after="180" w:before="0"/>
      </w:pPr>
      <w:r>
        <w:rPr>
          <w:rFonts w:ascii="IBM Plex Sans" w:hAnsi="IBM Plex Sans" w:cs="IBM Plex Sans"/>
          <w:b w:val="0"/>
          <w:color w:val="333333"/>
          <w:sz w:val="21"/>
          <w:szCs w:val="21"/>
        </w:rPr>
        <w:t>Demand is proven: 60–70% of commuters use transit daily and ~30% abandoned it due to poor service. Cutting wait time by 30 minutes saves ~900,000 person-hours per day across Damascus.</w:t>
      </w:r>
    </w:p>
    <w:p>
      <w:pPr>
        <w:bidi/>
        <w:spacing w:before="240" w:after="0"/>
        <w:jc w:val="right"/>
      </w:pPr>
      <w:r>
        <w:rPr>
          <w:rFonts w:ascii="IBM Plex Sans Arabic" w:hAnsi="IBM Plex Sans Arabic" w:cs="IBM Plex Sans Arabic"/>
          <w:b/>
          <w:color w:val="1B4332"/>
          <w:sz w:val="34"/>
          <w:szCs w:val="34"/>
          <w:rtl/>
        </w:rPr>
        <w:t>٢. الجدوى التقنية</w:t>
      </w:r>
    </w:p>
    <w:p>
      <w:pPr>
        <w:spacing w:before="0" w:after="100"/>
      </w:pPr>
      <w:r>
        <w:rPr>
          <w:rFonts w:ascii="IBM Plex Sans" w:hAnsi="IBM Plex Sans" w:cs="IBM Plex Sans"/>
          <w:b/>
          <w:color w:val="1B4332"/>
          <w:sz w:val="30"/>
          <w:szCs w:val="30"/>
        </w:rPr>
        <w:t>2. Technical Feasibility</w:t>
      </w:r>
    </w:p>
    <w:p>
      <w:pPr>
        <w:bidi/>
        <w:spacing w:after="20" w:before="0"/>
        <w:jc w:val="right"/>
      </w:pPr>
      <w:r>
        <w:rPr>
          <w:rFonts w:ascii="IBM Plex Sans Arabic" w:hAnsi="IBM Plex Sans Arabic" w:cs="IBM Plex Sans Arabic"/>
          <w:b w:val="0"/>
          <w:color w:val="0D1B2A"/>
          <w:sz w:val="22"/>
          <w:szCs w:val="22"/>
          <w:rtl/>
        </w:rPr>
        <w:t>المنصّة ليست فكرة بل نظام عامل: 26 واجهة برمجية، وسعة مختبرة لـ500 مركبة، وزمن استجابة وسيط 39 مللي ثانية، ونسبة خطأ 0% تحت الحمل، وتغذية GTFS جاهزة، ونشر بأمر واحد عبر Docker.</w:t>
      </w:r>
    </w:p>
    <w:p>
      <w:pPr>
        <w:spacing w:after="180" w:before="0"/>
      </w:pPr>
      <w:r>
        <w:rPr>
          <w:rFonts w:ascii="IBM Plex Sans" w:hAnsi="IBM Plex Sans" w:cs="IBM Plex Sans"/>
          <w:b w:val="0"/>
          <w:color w:val="333333"/>
          <w:sz w:val="21"/>
          <w:szCs w:val="21"/>
        </w:rPr>
        <w:t>The platform is not a concept but a working system: 26 API endpoints, tested capacity for 500 vehicles, a 39 ms median response time, 0% error rate under load, a GTFS feed ready, and one-command Docker deployment.</w:t>
      </w:r>
    </w:p>
    <w:p>
      <w:pPr>
        <w:bidi/>
        <w:spacing w:before="180" w:after="0"/>
        <w:jc w:val="right"/>
      </w:pPr>
      <w:r>
        <w:rPr>
          <w:rFonts w:ascii="IBM Plex Sans Arabic" w:hAnsi="IBM Plex Sans Arabic" w:cs="IBM Plex Sans Arabic"/>
          <w:b/>
          <w:color w:val="1B4332"/>
          <w:sz w:val="28"/>
          <w:szCs w:val="28"/>
          <w:rtl/>
        </w:rPr>
        <w:t>جدوى العتاد في السياق السوري</w:t>
      </w:r>
    </w:p>
    <w:p>
      <w:pPr>
        <w:spacing w:before="0" w:after="100"/>
      </w:pPr>
      <w:r>
        <w:rPr>
          <w:rFonts w:ascii="IBM Plex Sans" w:hAnsi="IBM Plex Sans" w:cs="IBM Plex Sans"/>
          <w:b/>
          <w:color w:val="1B4332"/>
          <w:sz w:val="25"/>
          <w:szCs w:val="25"/>
        </w:rPr>
        <w:t>Hardware Feasibility in the Syrian Context</w:t>
      </w:r>
    </w:p>
    <w:p>
      <w:pPr>
        <w:bidi/>
        <w:spacing w:after="20" w:before="0"/>
        <w:jc w:val="right"/>
      </w:pPr>
      <w:r>
        <w:rPr>
          <w:rFonts w:ascii="IBM Plex Sans Arabic" w:hAnsi="IBM Plex Sans Arabic" w:cs="IBM Plex Sans Arabic"/>
          <w:b w:val="0"/>
          <w:color w:val="0D1B2A"/>
          <w:sz w:val="22"/>
          <w:szCs w:val="22"/>
          <w:rtl/>
        </w:rPr>
        <w:t>بما أنّ كثيراً من الباصات والميكروباصات بلا هواتف ذكية، تُعتمد وحدة GPS مخصّصة كطريقة أساسية، مع تطبيق هاتف السائق كطريقة مكمّلة. للبدء السريع يمكن استخدام أجهزة جاهزة متوافقة مع Traccar (مثل Teltonika)، ثم الانتقال إلى وحدة مصمّمة محلياً لخفض الكلفة عند التوسّع.</w:t>
      </w:r>
    </w:p>
    <w:p>
      <w:pPr>
        <w:spacing w:after="180" w:before="0"/>
      </w:pPr>
      <w:r>
        <w:rPr>
          <w:rFonts w:ascii="IBM Plex Sans" w:hAnsi="IBM Plex Sans" w:cs="IBM Plex Sans"/>
          <w:b w:val="0"/>
          <w:color w:val="333333"/>
          <w:sz w:val="21"/>
          <w:szCs w:val="21"/>
        </w:rPr>
        <w:t>Because many buses and microbuses lack smartphones, a custom GPS unit is the primary method, with the driver phone app as a complement. For a fast start, off-the-shelf Traccar-compatible devices (e.g., Teltonika) can be used, then a locally designed unit to cut cost at scale.</w:t>
      </w:r>
    </w:p>
    <w:p>
      <w:pPr>
        <w:bidi/>
        <w:spacing w:before="240" w:after="0"/>
        <w:jc w:val="right"/>
      </w:pPr>
      <w:r>
        <w:rPr>
          <w:rFonts w:ascii="IBM Plex Sans Arabic" w:hAnsi="IBM Plex Sans Arabic" w:cs="IBM Plex Sans Arabic"/>
          <w:b/>
          <w:color w:val="1B4332"/>
          <w:sz w:val="34"/>
          <w:szCs w:val="34"/>
          <w:rtl/>
        </w:rPr>
        <w:t>٣. الجدوى التشغيلية</w:t>
      </w:r>
    </w:p>
    <w:p>
      <w:pPr>
        <w:spacing w:before="0" w:after="100"/>
      </w:pPr>
      <w:r>
        <w:rPr>
          <w:rFonts w:ascii="IBM Plex Sans" w:hAnsi="IBM Plex Sans" w:cs="IBM Plex Sans"/>
          <w:b/>
          <w:color w:val="1B4332"/>
          <w:sz w:val="30"/>
          <w:szCs w:val="30"/>
        </w:rPr>
        <w:t>3. Operational Feasibility</w:t>
      </w:r>
    </w:p>
    <w:p>
      <w:pPr>
        <w:bidi/>
        <w:spacing w:after="20" w:before="0"/>
        <w:jc w:val="right"/>
      </w:pPr>
      <w:r>
        <w:rPr>
          <w:rFonts w:ascii="IBM Plex Sans Arabic" w:hAnsi="IBM Plex Sans Arabic" w:cs="IBM Plex Sans Arabic"/>
          <w:b w:val="0"/>
          <w:color w:val="0D1B2A"/>
          <w:sz w:val="22"/>
          <w:szCs w:val="22"/>
          <w:rtl/>
        </w:rPr>
        <w:t>الفريق محلّي في دمشق ويتولّى التركيب والتدريب والدعم بالعربية. تغطية الجيل الرابع مستقرّة في دمشق (سيرياتيل وMTN)، وتدعم الوحدة تخزيناً مؤقّتاً للبيانات عند انقطاع الشبكة لتُرسل لاحقاً دون فقدان.</w:t>
      </w:r>
    </w:p>
    <w:p>
      <w:pPr>
        <w:spacing w:after="180" w:before="0"/>
      </w:pPr>
      <w:r>
        <w:rPr>
          <w:rFonts w:ascii="IBM Plex Sans" w:hAnsi="IBM Plex Sans" w:cs="IBM Plex Sans"/>
          <w:b w:val="0"/>
          <w:color w:val="333333"/>
          <w:sz w:val="21"/>
          <w:szCs w:val="21"/>
        </w:rPr>
        <w:t>The team is local in Damascus and handles installation, training, and support in Arabic. 4G coverage is stable across Damascus (Syriatel and MTN), and the unit buffers data during network gaps to send later without loss.</w:t>
      </w:r>
    </w:p>
    <w:p>
      <w:pPr>
        <w:bidi/>
        <w:spacing w:before="240" w:after="0"/>
        <w:jc w:val="right"/>
      </w:pPr>
      <w:r>
        <w:rPr>
          <w:rFonts w:ascii="IBM Plex Sans Arabic" w:hAnsi="IBM Plex Sans Arabic" w:cs="IBM Plex Sans Arabic"/>
          <w:b/>
          <w:color w:val="1B4332"/>
          <w:sz w:val="34"/>
          <w:szCs w:val="34"/>
          <w:rtl/>
        </w:rPr>
        <w:t>٤. الجدوى المالية</w:t>
      </w:r>
    </w:p>
    <w:p>
      <w:pPr>
        <w:spacing w:before="0" w:after="100"/>
      </w:pPr>
      <w:r>
        <w:rPr>
          <w:rFonts w:ascii="IBM Plex Sans" w:hAnsi="IBM Plex Sans" w:cs="IBM Plex Sans"/>
          <w:b/>
          <w:color w:val="1B4332"/>
          <w:sz w:val="30"/>
          <w:szCs w:val="30"/>
        </w:rPr>
        <w:t>4. Financial Feasibility</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4680"/>
        <w:gridCol w:w="4680"/>
      </w:tblGrid>
      <w:tr>
        <w:tc>
          <w:tcPr>
            <w:tcW w:type="dxa" w:w="5428"/>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المقياس</w:t>
            </w:r>
            <w:r>
              <w:br/>
            </w:r>
            <w:r>
              <w:rPr>
                <w:rFonts w:ascii="IBM Plex Sans" w:hAnsi="IBM Plex Sans" w:cs="IBM Plex Sans"/>
                <w:b/>
                <w:color w:val="F9F6EF"/>
                <w:sz w:val="19"/>
                <w:szCs w:val="19"/>
              </w:rPr>
              <w:t>Metric</w:t>
            </w:r>
          </w:p>
        </w:tc>
        <w:tc>
          <w:tcPr>
            <w:tcW w:type="dxa" w:w="3931"/>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القيمة</w:t>
            </w:r>
            <w:r>
              <w:br/>
            </w:r>
            <w:r>
              <w:rPr>
                <w:rFonts w:ascii="IBM Plex Sans" w:hAnsi="IBM Plex Sans" w:cs="IBM Plex Sans"/>
                <w:b/>
                <w:color w:val="F9F6EF"/>
                <w:sz w:val="19"/>
                <w:szCs w:val="19"/>
              </w:rPr>
              <w:t>Value</w:t>
            </w:r>
          </w:p>
        </w:tc>
      </w:tr>
      <w:tr>
        <w:tc>
          <w:tcPr>
            <w:tcW w:type="dxa" w:w="542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الإيراد لكل مركبة شهرياً / Revenue per vehicle</w:t>
            </w:r>
          </w:p>
        </w:tc>
        <w:tc>
          <w:tcPr>
            <w:tcW w:type="dxa" w:w="3931"/>
            <w:tcMar>
              <w:top w:w="60" w:type="dxa"/>
              <w:bottom w:w="60" w:type="dxa"/>
              <w:start w:w="110" w:type="dxa"/>
              <w:end w:w="110" w:type="dxa"/>
            </w:tcMar>
          </w:tcPr>
          <w:p>
            <w:r>
              <w:rPr>
                <w:rFonts w:ascii="IBM Plex Sans" w:hAnsi="IBM Plex Sans" w:cs="IBM Plex Sans"/>
                <w:b w:val="0"/>
                <w:color w:val="222222"/>
                <w:sz w:val="19"/>
                <w:szCs w:val="19"/>
              </w:rPr>
              <w:t>$10 – $50</w:t>
            </w:r>
          </w:p>
        </w:tc>
      </w:tr>
      <w:tr>
        <w:tc>
          <w:tcPr>
            <w:tcW w:type="dxa" w:w="542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الكلفة المتغيّرة لكل مركبة / Variable cost per vehicle</w:t>
            </w:r>
          </w:p>
        </w:tc>
        <w:tc>
          <w:tcPr>
            <w:tcW w:type="dxa" w:w="3931"/>
            <w:tcMar>
              <w:top w:w="60" w:type="dxa"/>
              <w:bottom w:w="60" w:type="dxa"/>
              <w:start w:w="110" w:type="dxa"/>
              <w:end w:w="110" w:type="dxa"/>
            </w:tcMar>
            <w:shd w:val="clear" w:color="auto" w:fill="E7ECE8"/>
          </w:tcPr>
          <w:p>
            <w:r>
              <w:rPr>
                <w:rFonts w:ascii="IBM Plex Sans" w:hAnsi="IBM Plex Sans" w:cs="IBM Plex Sans"/>
                <w:b w:val="0"/>
                <w:color w:val="222222"/>
                <w:sz w:val="19"/>
                <w:szCs w:val="19"/>
              </w:rPr>
              <w:t>~$2</w:t>
            </w:r>
          </w:p>
        </w:tc>
      </w:tr>
      <w:tr>
        <w:tc>
          <w:tcPr>
            <w:tcW w:type="dxa" w:w="542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هامش الربح الإجمالي / Gross margin</w:t>
            </w:r>
          </w:p>
        </w:tc>
        <w:tc>
          <w:tcPr>
            <w:tcW w:type="dxa" w:w="3931"/>
            <w:tcMar>
              <w:top w:w="60" w:type="dxa"/>
              <w:bottom w:w="60" w:type="dxa"/>
              <w:start w:w="110" w:type="dxa"/>
              <w:end w:w="110" w:type="dxa"/>
            </w:tcMar>
          </w:tcPr>
          <w:p>
            <w:r>
              <w:rPr>
                <w:rFonts w:ascii="IBM Plex Sans" w:hAnsi="IBM Plex Sans" w:cs="IBM Plex Sans"/>
                <w:b w:val="0"/>
                <w:color w:val="222222"/>
                <w:sz w:val="19"/>
                <w:szCs w:val="19"/>
              </w:rPr>
              <w:t>80% – 96%</w:t>
            </w:r>
          </w:p>
        </w:tc>
      </w:tr>
      <w:tr>
        <w:tc>
          <w:tcPr>
            <w:tcW w:type="dxa" w:w="542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نقطة التعادل / Break-even</w:t>
            </w:r>
          </w:p>
        </w:tc>
        <w:tc>
          <w:tcPr>
            <w:tcW w:type="dxa" w:w="3931"/>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~50 مركبة متعاقدة / vehicles</w:t>
            </w:r>
          </w:p>
        </w:tc>
      </w:tr>
      <w:tr>
        <w:tc>
          <w:tcPr>
            <w:tcW w:type="dxa" w:w="542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استرداد كلفة العتاد / Hardware payback</w:t>
            </w:r>
          </w:p>
        </w:tc>
        <w:tc>
          <w:tcPr>
            <w:tcW w:type="dxa" w:w="3931"/>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2–3 أشهر / months</w:t>
            </w:r>
          </w:p>
        </w:tc>
      </w:tr>
      <w:tr>
        <w:tc>
          <w:tcPr>
            <w:tcW w:type="dxa" w:w="542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كلفة البنية التحتية (التجربة) / Infra cost (pilot)</w:t>
            </w:r>
          </w:p>
        </w:tc>
        <w:tc>
          <w:tcPr>
            <w:tcW w:type="dxa" w:w="3931"/>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$0 (طبقات مجانية / free tiers)</w:t>
            </w:r>
          </w:p>
        </w:tc>
      </w:tr>
    </w:tbl>
    <w:p>
      <w:pPr>
        <w:spacing w:after="160" w:before="0"/>
      </w:pPr>
      <w:r>
        <w:rPr>
          <w:rFonts w:ascii="IBM Plex Sans" w:hAnsi="IBM Plex Sans" w:cs="IBM Plex Sans"/>
          <w:b w:val="0"/>
          <w:color w:val="333333"/>
          <w:sz w:val="21"/>
          <w:szCs w:val="21"/>
        </w:rPr>
      </w:r>
    </w:p>
    <w:p>
      <w:pPr>
        <w:bidi/>
        <w:spacing w:after="20" w:before="0"/>
        <w:jc w:val="right"/>
      </w:pPr>
      <w:r>
        <w:rPr>
          <w:rFonts w:ascii="IBM Plex Sans Arabic" w:hAnsi="IBM Plex Sans Arabic" w:cs="IBM Plex Sans Arabic"/>
          <w:b w:val="0"/>
          <w:color w:val="0D1B2A"/>
          <w:sz w:val="22"/>
          <w:szCs w:val="22"/>
          <w:rtl/>
        </w:rPr>
        <w:t>اقتصاديات الوحدة ممتازة وتسمح بالربحية عند نطاق صغير جداً — ميزة حاسمة في سوق ما بعد إعادة الإعمار حيث تبدأ العقود صغيرة.</w:t>
      </w:r>
    </w:p>
    <w:p>
      <w:pPr>
        <w:spacing w:after="180" w:before="0"/>
      </w:pPr>
      <w:r>
        <w:rPr>
          <w:rFonts w:ascii="IBM Plex Sans" w:hAnsi="IBM Plex Sans" w:cs="IBM Plex Sans"/>
          <w:b w:val="0"/>
          <w:color w:val="333333"/>
          <w:sz w:val="21"/>
          <w:szCs w:val="21"/>
        </w:rPr>
        <w:t>Unit economics are excellent and allow profitability at very small scale — a decisive advantage in a post-reconstruction market where contracts start small.</w:t>
      </w:r>
    </w:p>
    <w:p>
      <w:r>
        <w:br w:type="page"/>
      </w:r>
    </w:p>
    <w:p>
      <w:pPr>
        <w:bidi/>
        <w:spacing w:before="240" w:after="0"/>
        <w:jc w:val="right"/>
      </w:pPr>
      <w:r>
        <w:rPr>
          <w:rFonts w:ascii="IBM Plex Sans Arabic" w:hAnsi="IBM Plex Sans Arabic" w:cs="IBM Plex Sans Arabic"/>
          <w:b/>
          <w:color w:val="1B4332"/>
          <w:sz w:val="34"/>
          <w:szCs w:val="34"/>
          <w:rtl/>
        </w:rPr>
        <w:t>٥. الجدوى القانونية والتنظيمية</w:t>
      </w:r>
    </w:p>
    <w:p>
      <w:pPr>
        <w:spacing w:before="0" w:after="100"/>
      </w:pPr>
      <w:r>
        <w:rPr>
          <w:rFonts w:ascii="IBM Plex Sans" w:hAnsi="IBM Plex Sans" w:cs="IBM Plex Sans"/>
          <w:b/>
          <w:color w:val="1B4332"/>
          <w:sz w:val="30"/>
          <w:szCs w:val="30"/>
        </w:rPr>
        <w:t>5. Legal &amp; Regulatory Feasibility</w:t>
      </w:r>
    </w:p>
    <w:p>
      <w:pPr>
        <w:bidi/>
        <w:spacing w:after="20" w:before="0"/>
        <w:jc w:val="right"/>
      </w:pPr>
      <w:r>
        <w:rPr>
          <w:rFonts w:ascii="IBM Plex Sans Arabic" w:hAnsi="IBM Plex Sans Arabic" w:cs="IBM Plex Sans Arabic"/>
          <w:b w:val="0"/>
          <w:color w:val="0D1B2A"/>
          <w:sz w:val="22"/>
          <w:szCs w:val="22"/>
          <w:rtl/>
        </w:rPr>
        <w:t>رُفعت العقوبات الأمريكية والأوروبية في 2025 وأُلغي قانون قيصر في ديسمبر 2025، ما يتيح نقل التقنية والخدمات المالية. المنصّة ممتثلة جوهرياً لقانون النقل 12/2024 ومرسوم حماية البيانات 2023، مع إعفاء مؤقّت من الوزارة لاستضافة البيانات في الاتحاد الأوروبي خلال مرحلة إعادة الإعمار، وخطة للانتقال إلى استضافة داخل سورية.</w:t>
      </w:r>
    </w:p>
    <w:p>
      <w:pPr>
        <w:spacing w:after="180" w:before="0"/>
      </w:pPr>
      <w:r>
        <w:rPr>
          <w:rFonts w:ascii="IBM Plex Sans" w:hAnsi="IBM Plex Sans" w:cs="IBM Plex Sans"/>
          <w:b w:val="0"/>
          <w:color w:val="333333"/>
          <w:sz w:val="21"/>
          <w:szCs w:val="21"/>
        </w:rPr>
        <w:t>US &amp; EU sanctions were lifted in 2025 and the Caesar Act repealed in December 2025, enabling technology transfer and financial services. The platform is substantially compliant with Transport Law 12/2024 and the 2023 data-protection decree, with a temporary Ministry derogation for EU-hosted data during reconstruction and a roadmap to migrate to Syria-hosted infrastructure.</w:t>
      </w:r>
    </w:p>
    <w:p>
      <w:pPr>
        <w:bidi/>
        <w:spacing w:before="240" w:after="0"/>
        <w:jc w:val="right"/>
      </w:pPr>
      <w:r>
        <w:rPr>
          <w:rFonts w:ascii="IBM Plex Sans Arabic" w:hAnsi="IBM Plex Sans Arabic" w:cs="IBM Plex Sans Arabic"/>
          <w:b/>
          <w:color w:val="1B4332"/>
          <w:sz w:val="34"/>
          <w:szCs w:val="34"/>
          <w:rtl/>
        </w:rPr>
        <w:t>٦. جدوى التوسّع (لعبة تكرار)</w:t>
      </w:r>
    </w:p>
    <w:p>
      <w:pPr>
        <w:spacing w:before="0" w:after="100"/>
      </w:pPr>
      <w:r>
        <w:rPr>
          <w:rFonts w:ascii="IBM Plex Sans" w:hAnsi="IBM Plex Sans" w:cs="IBM Plex Sans"/>
          <w:b/>
          <w:color w:val="1B4332"/>
          <w:sz w:val="30"/>
          <w:szCs w:val="30"/>
        </w:rPr>
        <w:t>6. Expansion Feasibility (a Replication Play)</w:t>
      </w:r>
    </w:p>
    <w:p>
      <w:pPr>
        <w:bidi/>
        <w:spacing w:after="20" w:before="0"/>
        <w:jc w:val="right"/>
      </w:pPr>
      <w:r>
        <w:rPr>
          <w:rFonts w:ascii="IBM Plex Sans Arabic" w:hAnsi="IBM Plex Sans Arabic" w:cs="IBM Plex Sans Arabic"/>
          <w:b w:val="0"/>
          <w:color w:val="0D1B2A"/>
          <w:sz w:val="22"/>
          <w:szCs w:val="22"/>
          <w:rtl/>
        </w:rPr>
        <w:t>المنصّة مبنية؛ إضافة مدينة جديدة تتطلّب بيانات مسارات وعلاقات محلّية وحساب مدينة — دون تطوير برمجي جديد. الكلفة لكل مدينة 12,000–27,000 دولار مع استرداد خلال 2–4 أشهر.</w:t>
      </w:r>
    </w:p>
    <w:p>
      <w:pPr>
        <w:spacing w:after="180" w:before="0"/>
      </w:pPr>
      <w:r>
        <w:rPr>
          <w:rFonts w:ascii="IBM Plex Sans" w:hAnsi="IBM Plex Sans" w:cs="IBM Plex Sans"/>
          <w:b w:val="0"/>
          <w:color w:val="333333"/>
          <w:sz w:val="21"/>
          <w:szCs w:val="21"/>
        </w:rPr>
        <w:t>The platform is built; adding a city requires route data, local relationships, and a city account — with no new software development. Cost per city is USD 12,000–27,000 with a 2–4 month payback.</w:t>
      </w:r>
    </w:p>
    <w:tbl>
      <w:tblPr>
        <w:tblW w:type="auto" w:w="0"/>
        <w:jc w:val="center"/>
        <w:tblLook w:firstColumn="1" w:firstRow="1" w:lastColumn="0" w:lastRow="0" w:noHBand="0" w:noVBand="1" w:val="04A0"/>
        <w:tblBorders>
          <w:top w:val="single" w:sz="4" w:space="0" w:color="D8D8D0"/>
          <w:left w:val="single" w:sz="4" w:space="0" w:color="D8D8D0"/>
          <w:bottom w:val="single" w:sz="4" w:space="0" w:color="D8D8D0"/>
          <w:right w:val="single" w:sz="4" w:space="0" w:color="D8D8D0"/>
          <w:insideH w:val="single" w:sz="4" w:space="0" w:color="D8D8D0"/>
          <w:insideV w:val="single" w:sz="4" w:space="0" w:color="D8D8D0"/>
        </w:tblBorders>
      </w:tblPr>
      <w:tblGrid>
        <w:gridCol w:w="2340"/>
        <w:gridCol w:w="2340"/>
        <w:gridCol w:w="2340"/>
        <w:gridCol w:w="2340"/>
      </w:tblGrid>
      <w:tr>
        <w:tc>
          <w:tcPr>
            <w:tcW w:type="dxa" w:w="2808"/>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المدينة</w:t>
            </w:r>
            <w:r>
              <w:br/>
            </w:r>
            <w:r>
              <w:rPr>
                <w:rFonts w:ascii="IBM Plex Sans" w:hAnsi="IBM Plex Sans" w:cs="IBM Plex Sans"/>
                <w:b/>
                <w:color w:val="F9F6EF"/>
                <w:sz w:val="19"/>
                <w:szCs w:val="19"/>
              </w:rPr>
              <w:t>City</w:t>
            </w:r>
          </w:p>
        </w:tc>
        <w:tc>
          <w:tcPr>
            <w:tcW w:type="dxa" w:w="2433"/>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الأسطول المقدّر</w:t>
            </w:r>
            <w:r>
              <w:br/>
            </w:r>
            <w:r>
              <w:rPr>
                <w:rFonts w:ascii="IBM Plex Sans" w:hAnsi="IBM Plex Sans" w:cs="IBM Plex Sans"/>
                <w:b/>
                <w:color w:val="F9F6EF"/>
                <w:sz w:val="19"/>
                <w:szCs w:val="19"/>
              </w:rPr>
              <w:t>Est. fleet</w:t>
            </w:r>
          </w:p>
        </w:tc>
        <w:tc>
          <w:tcPr>
            <w:tcW w:type="dxa" w:w="2246"/>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بدء التوسّع</w:t>
            </w:r>
            <w:r>
              <w:br/>
            </w:r>
            <w:r>
              <w:rPr>
                <w:rFonts w:ascii="IBM Plex Sans" w:hAnsi="IBM Plex Sans" w:cs="IBM Plex Sans"/>
                <w:b/>
                <w:color w:val="F9F6EF"/>
                <w:sz w:val="19"/>
                <w:szCs w:val="19"/>
              </w:rPr>
              <w:t>Expansion start</w:t>
            </w:r>
          </w:p>
        </w:tc>
        <w:tc>
          <w:tcPr>
            <w:tcW w:type="dxa" w:w="1872"/>
            <w:shd w:val="clear" w:color="auto" w:fill="1B4332"/>
            <w:tcMar>
              <w:top w:w="60" w:type="dxa"/>
              <w:bottom w:w="60" w:type="dxa"/>
              <w:start w:w="110" w:type="dxa"/>
              <w:end w:w="110" w:type="dxa"/>
            </w:tcMar>
          </w:tcPr>
          <w:p>
            <w:pPr>
              <w:jc w:val="center"/>
            </w:pPr>
            <w:r>
              <w:rPr>
                <w:rFonts w:ascii="IBM Plex Sans Arabic" w:hAnsi="IBM Plex Sans Arabic" w:cs="IBM Plex Sans Arabic"/>
                <w:b/>
                <w:color w:val="F9F6EF"/>
                <w:sz w:val="20"/>
                <w:szCs w:val="20"/>
                <w:rtl/>
              </w:rPr>
              <w:t>إيراد السنة 1</w:t>
            </w:r>
            <w:r>
              <w:br/>
            </w:r>
            <w:r>
              <w:rPr>
                <w:rFonts w:ascii="IBM Plex Sans" w:hAnsi="IBM Plex Sans" w:cs="IBM Plex Sans"/>
                <w:b/>
                <w:color w:val="F9F6EF"/>
                <w:sz w:val="19"/>
                <w:szCs w:val="19"/>
              </w:rPr>
              <w:t>Year-1 revenue</w:t>
            </w:r>
          </w:p>
        </w:tc>
      </w:tr>
      <w:tr>
        <w:tc>
          <w:tcPr>
            <w:tcW w:type="dxa" w:w="280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دمشق (المرتكز) / Damascus (anchor)</w:t>
            </w:r>
          </w:p>
        </w:tc>
        <w:tc>
          <w:tcPr>
            <w:tcW w:type="dxa" w:w="2433"/>
            <w:tcMar>
              <w:top w:w="60" w:type="dxa"/>
              <w:bottom w:w="60" w:type="dxa"/>
              <w:start w:w="110" w:type="dxa"/>
              <w:end w:w="110" w:type="dxa"/>
            </w:tcMar>
          </w:tcPr>
          <w:p>
            <w:r>
              <w:rPr>
                <w:rFonts w:ascii="IBM Plex Sans" w:hAnsi="IBM Plex Sans" w:cs="IBM Plex Sans"/>
                <w:b w:val="0"/>
                <w:color w:val="222222"/>
                <w:sz w:val="19"/>
                <w:szCs w:val="19"/>
              </w:rPr>
              <w:t>6,000</w:t>
            </w:r>
          </w:p>
        </w:tc>
        <w:tc>
          <w:tcPr>
            <w:tcW w:type="dxa" w:w="224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الآن / Now</w:t>
            </w:r>
          </w:p>
        </w:tc>
        <w:tc>
          <w:tcPr>
            <w:tcW w:type="dxa" w:w="1872"/>
            <w:tcMar>
              <w:top w:w="60" w:type="dxa"/>
              <w:bottom w:w="60" w:type="dxa"/>
              <w:start w:w="110" w:type="dxa"/>
              <w:end w:w="110" w:type="dxa"/>
            </w:tcMar>
          </w:tcPr>
          <w:p>
            <w:r>
              <w:rPr>
                <w:rFonts w:ascii="IBM Plex Sans" w:hAnsi="IBM Plex Sans" w:cs="IBM Plex Sans"/>
                <w:b w:val="0"/>
                <w:color w:val="222222"/>
                <w:sz w:val="19"/>
                <w:szCs w:val="19"/>
              </w:rPr>
              <w:t>$90,000+</w:t>
            </w:r>
          </w:p>
        </w:tc>
      </w:tr>
      <w:tr>
        <w:tc>
          <w:tcPr>
            <w:tcW w:type="dxa" w:w="280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حلب / Aleppo</w:t>
            </w:r>
          </w:p>
        </w:tc>
        <w:tc>
          <w:tcPr>
            <w:tcW w:type="dxa" w:w="2433"/>
            <w:tcMar>
              <w:top w:w="60" w:type="dxa"/>
              <w:bottom w:w="60" w:type="dxa"/>
              <w:start w:w="110" w:type="dxa"/>
              <w:end w:w="110" w:type="dxa"/>
            </w:tcMar>
            <w:shd w:val="clear" w:color="auto" w:fill="E7ECE8"/>
          </w:tcPr>
          <w:p>
            <w:r>
              <w:rPr>
                <w:rFonts w:ascii="IBM Plex Sans" w:hAnsi="IBM Plex Sans" w:cs="IBM Plex Sans"/>
                <w:b w:val="0"/>
                <w:color w:val="222222"/>
                <w:sz w:val="19"/>
                <w:szCs w:val="19"/>
              </w:rPr>
              <w:t>4,000–5,000</w:t>
            </w:r>
          </w:p>
        </w:tc>
        <w:tc>
          <w:tcPr>
            <w:tcW w:type="dxa" w:w="224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الشهر 18 / Month 18</w:t>
            </w:r>
          </w:p>
        </w:tc>
        <w:tc>
          <w:tcPr>
            <w:tcW w:type="dxa" w:w="1872"/>
            <w:tcMar>
              <w:top w:w="60" w:type="dxa"/>
              <w:bottom w:w="60" w:type="dxa"/>
              <w:start w:w="110" w:type="dxa"/>
              <w:end w:w="110" w:type="dxa"/>
            </w:tcMar>
            <w:shd w:val="clear" w:color="auto" w:fill="E7ECE8"/>
          </w:tcPr>
          <w:p>
            <w:r>
              <w:rPr>
                <w:rFonts w:ascii="IBM Plex Sans" w:hAnsi="IBM Plex Sans" w:cs="IBM Plex Sans"/>
                <w:b w:val="0"/>
                <w:color w:val="222222"/>
                <w:sz w:val="19"/>
                <w:szCs w:val="19"/>
              </w:rPr>
              <w:t>$36,000</w:t>
            </w:r>
          </w:p>
        </w:tc>
      </w:tr>
      <w:tr>
        <w:tc>
          <w:tcPr>
            <w:tcW w:type="dxa" w:w="2808"/>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حمص / Homs</w:t>
            </w:r>
          </w:p>
        </w:tc>
        <w:tc>
          <w:tcPr>
            <w:tcW w:type="dxa" w:w="2433"/>
            <w:tcMar>
              <w:top w:w="60" w:type="dxa"/>
              <w:bottom w:w="60" w:type="dxa"/>
              <w:start w:w="110" w:type="dxa"/>
              <w:end w:w="110" w:type="dxa"/>
            </w:tcMar>
          </w:tcPr>
          <w:p>
            <w:r>
              <w:rPr>
                <w:rFonts w:ascii="IBM Plex Sans" w:hAnsi="IBM Plex Sans" w:cs="IBM Plex Sans"/>
                <w:b w:val="0"/>
                <w:color w:val="222222"/>
                <w:sz w:val="19"/>
                <w:szCs w:val="19"/>
              </w:rPr>
              <w:t>1,500–2,500</w:t>
            </w:r>
          </w:p>
        </w:tc>
        <w:tc>
          <w:tcPr>
            <w:tcW w:type="dxa" w:w="2246"/>
            <w:tcMar>
              <w:top w:w="60" w:type="dxa"/>
              <w:bottom w:w="60" w:type="dxa"/>
              <w:start w:w="110" w:type="dxa"/>
              <w:end w:w="110" w:type="dxa"/>
            </w:tcMar>
          </w:tcPr>
          <w:p>
            <w:pPr>
              <w:bidi/>
              <w:jc w:val="right"/>
            </w:pPr>
            <w:r>
              <w:rPr>
                <w:rFonts w:ascii="IBM Plex Sans Arabic" w:hAnsi="IBM Plex Sans Arabic" w:cs="IBM Plex Sans Arabic"/>
                <w:b w:val="0"/>
                <w:color w:val="222222"/>
                <w:sz w:val="19"/>
                <w:szCs w:val="19"/>
                <w:rtl/>
              </w:rPr>
              <w:t>الشهر 22 / Month 22</w:t>
            </w:r>
          </w:p>
        </w:tc>
        <w:tc>
          <w:tcPr>
            <w:tcW w:type="dxa" w:w="1872"/>
            <w:tcMar>
              <w:top w:w="60" w:type="dxa"/>
              <w:bottom w:w="60" w:type="dxa"/>
              <w:start w:w="110" w:type="dxa"/>
              <w:end w:w="110" w:type="dxa"/>
            </w:tcMar>
          </w:tcPr>
          <w:p>
            <w:r>
              <w:rPr>
                <w:rFonts w:ascii="IBM Plex Sans" w:hAnsi="IBM Plex Sans" w:cs="IBM Plex Sans"/>
                <w:b w:val="0"/>
                <w:color w:val="222222"/>
                <w:sz w:val="19"/>
                <w:szCs w:val="19"/>
              </w:rPr>
              <w:t>$27,000</w:t>
            </w:r>
          </w:p>
        </w:tc>
      </w:tr>
      <w:tr>
        <w:tc>
          <w:tcPr>
            <w:tcW w:type="dxa" w:w="2808"/>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اللاذقية / Lattakia</w:t>
            </w:r>
          </w:p>
        </w:tc>
        <w:tc>
          <w:tcPr>
            <w:tcW w:type="dxa" w:w="2433"/>
            <w:tcMar>
              <w:top w:w="60" w:type="dxa"/>
              <w:bottom w:w="60" w:type="dxa"/>
              <w:start w:w="110" w:type="dxa"/>
              <w:end w:w="110" w:type="dxa"/>
            </w:tcMar>
            <w:shd w:val="clear" w:color="auto" w:fill="E7ECE8"/>
          </w:tcPr>
          <w:p>
            <w:r>
              <w:rPr>
                <w:rFonts w:ascii="IBM Plex Sans" w:hAnsi="IBM Plex Sans" w:cs="IBM Plex Sans"/>
                <w:b w:val="0"/>
                <w:color w:val="222222"/>
                <w:sz w:val="19"/>
                <w:szCs w:val="19"/>
              </w:rPr>
              <w:t>1,200–2,000</w:t>
            </w:r>
          </w:p>
        </w:tc>
        <w:tc>
          <w:tcPr>
            <w:tcW w:type="dxa" w:w="2246"/>
            <w:tcMar>
              <w:top w:w="60" w:type="dxa"/>
              <w:bottom w:w="60" w:type="dxa"/>
              <w:start w:w="110" w:type="dxa"/>
              <w:end w:w="110" w:type="dxa"/>
            </w:tcMar>
            <w:shd w:val="clear" w:color="auto" w:fill="E7ECE8"/>
          </w:tcPr>
          <w:p>
            <w:pPr>
              <w:bidi/>
              <w:jc w:val="right"/>
            </w:pPr>
            <w:r>
              <w:rPr>
                <w:rFonts w:ascii="IBM Plex Sans Arabic" w:hAnsi="IBM Plex Sans Arabic" w:cs="IBM Plex Sans Arabic"/>
                <w:b w:val="0"/>
                <w:color w:val="222222"/>
                <w:sz w:val="19"/>
                <w:szCs w:val="19"/>
                <w:rtl/>
              </w:rPr>
              <w:t>الشهر 24 / Month 24</w:t>
            </w:r>
          </w:p>
        </w:tc>
        <w:tc>
          <w:tcPr>
            <w:tcW w:type="dxa" w:w="1872"/>
            <w:tcMar>
              <w:top w:w="60" w:type="dxa"/>
              <w:bottom w:w="60" w:type="dxa"/>
              <w:start w:w="110" w:type="dxa"/>
              <w:end w:w="110" w:type="dxa"/>
            </w:tcMar>
            <w:shd w:val="clear" w:color="auto" w:fill="E7ECE8"/>
          </w:tcPr>
          <w:p>
            <w:r>
              <w:rPr>
                <w:rFonts w:ascii="IBM Plex Sans" w:hAnsi="IBM Plex Sans" w:cs="IBM Plex Sans"/>
                <w:b w:val="0"/>
                <w:color w:val="222222"/>
                <w:sz w:val="19"/>
                <w:szCs w:val="19"/>
              </w:rPr>
              <w:t>$42,000</w:t>
            </w:r>
          </w:p>
        </w:tc>
      </w:tr>
    </w:tbl>
    <w:p>
      <w:pPr>
        <w:bidi/>
        <w:spacing w:before="240" w:after="0"/>
        <w:jc w:val="right"/>
      </w:pPr>
      <w:r>
        <w:rPr>
          <w:rFonts w:ascii="IBM Plex Sans Arabic" w:hAnsi="IBM Plex Sans Arabic" w:cs="IBM Plex Sans Arabic"/>
          <w:b/>
          <w:color w:val="1B4332"/>
          <w:sz w:val="34"/>
          <w:szCs w:val="34"/>
          <w:rtl/>
        </w:rPr>
        <w:t>٧. معايير الاستمرار والخلاصة</w:t>
      </w:r>
    </w:p>
    <w:p>
      <w:pPr>
        <w:spacing w:before="0" w:after="100"/>
      </w:pPr>
      <w:r>
        <w:rPr>
          <w:rFonts w:ascii="IBM Plex Sans" w:hAnsi="IBM Plex Sans" w:cs="IBM Plex Sans"/>
          <w:b/>
          <w:color w:val="1B4332"/>
          <w:sz w:val="30"/>
          <w:szCs w:val="30"/>
        </w:rPr>
        <w:t>7. Go/No-Go Criteria &amp; Conclusion</w:t>
      </w:r>
    </w:p>
    <w:p>
      <w:pPr>
        <w:bidi/>
        <w:spacing w:after="20" w:before="0"/>
        <w:jc w:val="right"/>
      </w:pPr>
      <w:r>
        <w:rPr>
          <w:rFonts w:ascii="IBM Plex Sans Arabic" w:hAnsi="IBM Plex Sans Arabic" w:cs="IBM Plex Sans Arabic"/>
          <w:b w:val="0"/>
          <w:color w:val="0D1B2A"/>
          <w:sz w:val="22"/>
          <w:szCs w:val="22"/>
          <w:rtl/>
        </w:rPr>
        <w:t>يُقيَّم الانتقال إلى المرحلة الثانية في الشهر الرابع وفق: جهوزية أسطول أكثر من 90%، وزمن تحديث أقل من 30 ثانية، وتبنّي المرسلين أكثر من 80%، وتقييم إيجابي من الركّاب.</w:t>
      </w:r>
    </w:p>
    <w:p>
      <w:pPr>
        <w:spacing w:after="180" w:before="0"/>
      </w:pPr>
      <w:r>
        <w:rPr>
          <w:rFonts w:ascii="IBM Plex Sans" w:hAnsi="IBM Plex Sans" w:cs="IBM Plex Sans"/>
          <w:b w:val="0"/>
          <w:color w:val="333333"/>
          <w:sz w:val="21"/>
          <w:szCs w:val="21"/>
        </w:rPr>
        <w:t>The move to Phase 2 is evaluated at Month 4 against: fleet uptime above 90%, position latency under 30 seconds, dispatcher adoption above 80%, and positive passenger feedback.</w:t>
      </w:r>
    </w:p>
    <w:p>
      <w:pPr>
        <w:bidi/>
        <w:spacing w:after="20" w:before="0"/>
        <w:jc w:val="right"/>
      </w:pPr>
      <w:r>
        <w:rPr>
          <w:rFonts w:ascii="IBM Plex Sans Arabic" w:hAnsi="IBM Plex Sans Arabic" w:cs="IBM Plex Sans Arabic"/>
          <w:b w:val="0"/>
          <w:color w:val="0D1B2A"/>
          <w:sz w:val="22"/>
          <w:szCs w:val="22"/>
          <w:rtl/>
        </w:rPr>
        <w:t>الخلاصة: المشروع قابل للتنفيذ ومجدٍ اقتصادياً، والمخاطر معروفة وقابلة للتخفيف (انظر وثيقة تقييم المخاطر).</w:t>
      </w:r>
    </w:p>
    <w:p>
      <w:pPr>
        <w:spacing w:after="180" w:before="0"/>
      </w:pPr>
      <w:r>
        <w:rPr>
          <w:rFonts w:ascii="IBM Plex Sans" w:hAnsi="IBM Plex Sans" w:cs="IBM Plex Sans"/>
          <w:b w:val="0"/>
          <w:color w:val="333333"/>
          <w:sz w:val="21"/>
          <w:szCs w:val="21"/>
        </w:rPr>
        <w:t>Conclusion: the project is feasible and economically sound, with known, mitigable risks (see the Risk Assessment document).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Sans" w:hAnsi="IBM Plex Sans" w:cs="IBM Plex Sans"/>
        <w:b w:val="0"/>
        <w:color w:val="7A7060"/>
        <w:sz w:val="16"/>
        <w:szCs w:val="16"/>
      </w:rPr>
      <w:t>© 2026 Damascus Transit Technologies Ltd.  ·  damascustransit.com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cs="IBM Plex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