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868680" cy="86868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9360"/>
      </w:tblGrid>
      <w:tr>
        <w:tc>
          <w:tcPr>
            <w:tcW w:type="dxa" w:w="9360"/>
            <w:shd w:val="clear" w:color="auto" w:fill="1B4332"/>
            <w:tcMar>
              <w:top w:w="220" w:type="dxa"/>
              <w:bottom w:w="220" w:type="dxa"/>
              <w:start w:w="200" w:type="dxa"/>
              <w:end w:w="200" w:type="dxa"/>
            </w:tcMar>
          </w:tcPr>
          <w:p>
            <w:pPr>
              <w:bidi/>
              <w:spacing w:after="80"/>
              <w:jc w:val="right"/>
            </w:pPr>
            <w:r>
              <w:rPr>
                <w:rFonts w:ascii="IBM Plex Sans Arabic" w:hAnsi="IBM Plex Sans Arabic" w:cs="IBM Plex Sans Arabic"/>
                <w:b/>
                <w:color w:val="F9F6EF"/>
                <w:sz w:val="46"/>
                <w:szCs w:val="46"/>
                <w:rtl/>
              </w:rPr>
              <w:t>تقييم مخاطر منصّة دمشق ترانزيت</w:t>
            </w:r>
          </w:p>
          <w:p>
            <w:pPr>
              <w:spacing w:before="0"/>
            </w:pPr>
            <w:r>
              <w:rPr>
                <w:rFonts w:ascii="IBM Plex Sans" w:hAnsi="IBM Plex Sans" w:cs="IBM Plex Sans"/>
                <w:b/>
                <w:color w:val="C4B47E"/>
                <w:sz w:val="36"/>
                <w:szCs w:val="36"/>
              </w:rPr>
              <w:t>DAM Platform Risk Assessment</w:t>
            </w:r>
          </w:p>
        </w:tc>
      </w:tr>
    </w:tbl>
    <w:p>
      <w:pPr>
        <w:spacing w:before="280"/>
        <w:bidi/>
        <w:jc w:val="right"/>
      </w:pPr>
      <w:r>
        <w:rPr>
          <w:rFonts w:ascii="IBM Plex Sans Arabic" w:hAnsi="IBM Plex Sans Arabic" w:cs="IBM Plex Sans Arabic"/>
          <w:b w:val="0"/>
          <w:color w:val="7A7060"/>
          <w:sz w:val="25"/>
          <w:szCs w:val="25"/>
          <w:rtl/>
        </w:rPr>
        <w:t>سجلّ المخاطر، التصنيف، التخفيف، وخطة العمل لـ90 يوماً</w:t>
      </w:r>
    </w:p>
    <w:p>
      <w:pPr>
        <w:spacing w:after="40"/>
      </w:pPr>
      <w:r>
        <w:rPr>
          <w:rFonts w:ascii="IBM Plex Sans" w:hAnsi="IBM Plex Sans" w:cs="IBM Plex Sans"/>
          <w:b w:val="0"/>
          <w:color w:val="7A7060"/>
          <w:sz w:val="22"/>
          <w:szCs w:val="22"/>
        </w:rPr>
        <w:t>Risk register, scoring, mitigations, and a 90-day action plan</w:t>
      </w:r>
    </w:p>
    <w:p>
      <w:pPr>
        <w:spacing w:before="40" w:after="120"/>
        <w:pBdr>
          <w:bottom w:val="single" w:sz="12" w:space="1" w:color="C4B47E"/>
        </w:pBdr>
      </w:pPr>
    </w:p>
    <w:p>
      <w:pPr>
        <w:bidi/>
        <w:jc w:val="right"/>
      </w:pPr>
      <w:r>
        <w:rPr>
          <w:rFonts w:ascii="IBM Plex Sans Arabic" w:hAnsi="IBM Plex Sans Arabic" w:cs="IBM Plex Sans Arabic"/>
          <w:b/>
          <w:color w:val="1B4332"/>
          <w:sz w:val="22"/>
          <w:szCs w:val="22"/>
          <w:rtl/>
        </w:rPr>
        <w:t>تقييم المخاطر</w:t>
      </w:r>
    </w:p>
    <w:p>
      <w:r>
        <w:rPr>
          <w:rFonts w:ascii="IBM Plex Sans" w:hAnsi="IBM Plex Sans" w:cs="IBM Plex Sans"/>
          <w:b w:val="0"/>
          <w:color w:val="7A7060"/>
          <w:sz w:val="20"/>
          <w:szCs w:val="20"/>
        </w:rPr>
        <w:t>Risk Assessment   ·   June 2026</w:t>
      </w:r>
    </w:p>
    <w:p>
      <w:pPr>
        <w:spacing w:before="40"/>
      </w:pPr>
      <w:r>
        <w:rPr>
          <w:rFonts w:ascii="IBM Plex Sans" w:hAnsi="IBM Plex Sans" w:cs="IBM Plex Sans"/>
          <w:b w:val="0"/>
          <w:color w:val="7A7060"/>
          <w:sz w:val="18"/>
          <w:szCs w:val="18"/>
        </w:rPr>
        <w:t>سرّي — لاستخدام وزارة النقل   ·   Confidential — For Ministry of Transport use</w:t>
      </w:r>
    </w:p>
    <w:p>
      <w:r>
        <w:br w:type="page"/>
      </w:r>
    </w:p>
    <w:p>
      <w:pPr>
        <w:bidi/>
        <w:spacing w:before="240" w:after="0"/>
        <w:jc w:val="right"/>
      </w:pPr>
      <w:r>
        <w:rPr>
          <w:rFonts w:ascii="IBM Plex Sans Arabic" w:hAnsi="IBM Plex Sans Arabic" w:cs="IBM Plex Sans Arabic"/>
          <w:b/>
          <w:color w:val="1B4332"/>
          <w:sz w:val="34"/>
          <w:szCs w:val="34"/>
          <w:rtl/>
        </w:rPr>
        <w:t>منهجية التصنيف</w:t>
      </w:r>
    </w:p>
    <w:p>
      <w:pPr>
        <w:spacing w:before="0" w:after="100"/>
      </w:pPr>
      <w:r>
        <w:rPr>
          <w:rFonts w:ascii="IBM Plex Sans" w:hAnsi="IBM Plex Sans" w:cs="IBM Plex Sans"/>
          <w:b/>
          <w:color w:val="1B4332"/>
          <w:sz w:val="30"/>
          <w:szCs w:val="30"/>
        </w:rPr>
        <w:t>Scoring Methodology</w:t>
      </w:r>
    </w:p>
    <w:p>
      <w:pPr>
        <w:bidi/>
        <w:spacing w:after="20" w:before="0"/>
        <w:jc w:val="right"/>
      </w:pPr>
      <w:r>
        <w:rPr>
          <w:rFonts w:ascii="IBM Plex Sans Arabic" w:hAnsi="IBM Plex Sans Arabic" w:cs="IBM Plex Sans Arabic"/>
          <w:b w:val="0"/>
          <w:color w:val="0D1B2A"/>
          <w:sz w:val="22"/>
          <w:szCs w:val="22"/>
          <w:rtl/>
        </w:rPr>
        <w:t>تُقيَّم كل مخاطرة على مقياس من 1 إلى 5 للاحتمال والأثر، ودرجة المخاطرة = الاحتمال × الأثر. عالٍ ≥ 12، متوسّط 6–11، منخفض 1–5. نعرض الدرجة الأوّلية ثم الدرجة بعد التخفيف.</w:t>
      </w:r>
    </w:p>
    <w:p>
      <w:pPr>
        <w:spacing w:after="180" w:before="0"/>
      </w:pPr>
      <w:r>
        <w:rPr>
          <w:rFonts w:ascii="IBM Plex Sans" w:hAnsi="IBM Plex Sans" w:cs="IBM Plex Sans"/>
          <w:b w:val="0"/>
          <w:color w:val="333333"/>
          <w:sz w:val="21"/>
          <w:szCs w:val="21"/>
        </w:rPr>
        <w:t>Each risk is scored 1–5 for likelihood and impact; risk score = likelihood × impact. High ≥ 12, Medium 6–11, Low 1–5. We show the raw score and the mitigated score.</w:t>
      </w:r>
    </w:p>
    <w:p>
      <w:pPr>
        <w:bidi/>
        <w:spacing w:before="240" w:after="0"/>
        <w:jc w:val="right"/>
      </w:pPr>
      <w:r>
        <w:rPr>
          <w:rFonts w:ascii="IBM Plex Sans Arabic" w:hAnsi="IBM Plex Sans Arabic" w:cs="IBM Plex Sans Arabic"/>
          <w:b/>
          <w:color w:val="1B4332"/>
          <w:sz w:val="34"/>
          <w:szCs w:val="34"/>
          <w:rtl/>
        </w:rPr>
        <w:t>سجلّ المخاطر الرئيسي</w:t>
      </w:r>
    </w:p>
    <w:p>
      <w:pPr>
        <w:spacing w:before="0" w:after="100"/>
      </w:pPr>
      <w:r>
        <w:rPr>
          <w:rFonts w:ascii="IBM Plex Sans" w:hAnsi="IBM Plex Sans" w:cs="IBM Plex Sans"/>
          <w:b/>
          <w:color w:val="1B4332"/>
          <w:sz w:val="30"/>
          <w:szCs w:val="30"/>
        </w:rPr>
        <w:t>Master Risk Register</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1560"/>
        <w:gridCol w:w="1560"/>
        <w:gridCol w:w="1560"/>
        <w:gridCol w:w="1560"/>
        <w:gridCol w:w="1560"/>
        <w:gridCol w:w="1560"/>
      </w:tblGrid>
      <w:tr>
        <w:tc>
          <w:tcPr>
            <w:tcW w:type="dxa" w:w="37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w:t>
            </w:r>
            <w:r>
              <w:br/>
            </w:r>
            <w:r>
              <w:rPr>
                <w:rFonts w:ascii="IBM Plex Sans" w:hAnsi="IBM Plex Sans" w:cs="IBM Plex Sans"/>
                <w:b/>
                <w:color w:val="F9F6EF"/>
                <w:sz w:val="17"/>
                <w:szCs w:val="17"/>
              </w:rPr>
              <w:t>#</w:t>
            </w:r>
          </w:p>
        </w:tc>
        <w:tc>
          <w:tcPr>
            <w:tcW w:type="dxa" w:w="4305"/>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المخاطرة / Risk</w:t>
            </w:r>
            <w:r>
              <w:br/>
            </w:r>
            <w:r>
              <w:rPr>
                <w:rFonts w:ascii="IBM Plex Sans" w:hAnsi="IBM Plex Sans" w:cs="IBM Plex Sans"/>
                <w:b/>
                <w:color w:val="F9F6EF"/>
                <w:sz w:val="17"/>
                <w:szCs w:val="17"/>
              </w:rPr>
              <w:t>المخاطرة / Risk</w:t>
            </w:r>
          </w:p>
        </w:tc>
        <w:tc>
          <w:tcPr>
            <w:tcW w:type="dxa" w:w="93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الاحتمال L</w:t>
            </w:r>
            <w:r>
              <w:br/>
            </w:r>
            <w:r>
              <w:rPr>
                <w:rFonts w:ascii="IBM Plex Sans" w:hAnsi="IBM Plex Sans" w:cs="IBM Plex Sans"/>
                <w:b/>
                <w:color w:val="F9F6EF"/>
                <w:sz w:val="17"/>
                <w:szCs w:val="17"/>
              </w:rPr>
              <w:t>L</w:t>
            </w:r>
          </w:p>
        </w:tc>
        <w:tc>
          <w:tcPr>
            <w:tcW w:type="dxa" w:w="93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الأثر I</w:t>
            </w:r>
            <w:r>
              <w:br/>
            </w:r>
            <w:r>
              <w:rPr>
                <w:rFonts w:ascii="IBM Plex Sans" w:hAnsi="IBM Plex Sans" w:cs="IBM Plex Sans"/>
                <w:b/>
                <w:color w:val="F9F6EF"/>
                <w:sz w:val="17"/>
                <w:szCs w:val="17"/>
              </w:rPr>
              <w:t>I</w:t>
            </w:r>
          </w:p>
        </w:tc>
        <w:tc>
          <w:tcPr>
            <w:tcW w:type="dxa" w:w="140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أوّلي/Raw</w:t>
            </w:r>
            <w:r>
              <w:br/>
            </w:r>
            <w:r>
              <w:rPr>
                <w:rFonts w:ascii="IBM Plex Sans" w:hAnsi="IBM Plex Sans" w:cs="IBM Plex Sans"/>
                <w:b/>
                <w:color w:val="F9F6EF"/>
                <w:sz w:val="17"/>
                <w:szCs w:val="17"/>
              </w:rPr>
              <w:t>Raw</w:t>
            </w:r>
          </w:p>
        </w:tc>
        <w:tc>
          <w:tcPr>
            <w:tcW w:type="dxa" w:w="140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18"/>
                <w:szCs w:val="18"/>
                <w:rtl/>
              </w:rPr>
              <w:t>بعد التخفيف/Mitigated</w:t>
            </w:r>
            <w:r>
              <w:br/>
            </w:r>
            <w:r>
              <w:rPr>
                <w:rFonts w:ascii="IBM Plex Sans" w:hAnsi="IBM Plex Sans" w:cs="IBM Plex Sans"/>
                <w:b/>
                <w:color w:val="F9F6EF"/>
                <w:sz w:val="17"/>
                <w:szCs w:val="17"/>
              </w:rPr>
              <w:t>Mitigated</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1</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إعادة فرض العقوبات / Sanctions reimposition</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5</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10 — متوسط/Med</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6 — متوسط/Med</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تأخّر رخصة الفئة B / Class B license delay</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3</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12 — عالٍ/High</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3</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اختراق البيانات / Data breach</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5</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10 — متوسط/Med</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4 — منخفض/Low</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4</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إنهاء عقد الوزارة / Ministry contract termination</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5</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10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4 — منخفض/Low</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5</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عدم الامتثال للقانون 12/2024 / Law 12/2024 non-compliance</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3</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12 — عالٍ/High</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6 — متوسط/Med</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6</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مخالفة ترخيص مفتوح المصدر / OSS license violation</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3</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3 — منخفض/Low</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7</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عدم امتثال تمويل البنك الدولي / WB funding non-compliance</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5</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10 — متوسط/Med</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5 — منخفض/Low</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8</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ادّعاء إساءة استخدام بيانات السائق / Driver data misuse</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3</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3 — منخفض/Low</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9</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تقلّب الليرة السورية / SYP currency instability</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4</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3</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12 — عالٍ/High</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8 — متوسط/Med</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10</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ادّعاء ملكية فكرية من منافس / Competitor IP claim</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3</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4 — منخفض/Low</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11</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قوة قاهرة / اضطراب مدني / Force majeure</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3</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12 — عالٍ/High</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8 — متوسط/Med</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12</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الفساد / الاستحواذ التنظيمي / Corruption</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8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13</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عدم الامتثال لإقامة البيانات / Data residency</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8 — متوسط/Med</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6 — متوسط/Med</w:t>
            </w:r>
          </w:p>
        </w:tc>
      </w:tr>
      <w:tr>
        <w:tc>
          <w:tcPr>
            <w:tcW w:type="dxa" w:w="374"/>
            <w:tcMar>
              <w:top w:w="60" w:type="dxa"/>
              <w:bottom w:w="60" w:type="dxa"/>
              <w:start w:w="110" w:type="dxa"/>
              <w:end w:w="110" w:type="dxa"/>
            </w:tcMar>
            <w:shd w:val="clear" w:color="auto" w:fill="E7ECE8"/>
          </w:tcPr>
          <w:p>
            <w:r>
              <w:rPr>
                <w:rFonts w:ascii="IBM Plex Sans" w:hAnsi="IBM Plex Sans" w:cs="IBM Plex Sans"/>
                <w:b w:val="0"/>
                <w:color w:val="222222"/>
                <w:sz w:val="17"/>
                <w:szCs w:val="17"/>
              </w:rPr>
              <w:t>14</w:t>
            </w:r>
          </w:p>
        </w:tc>
        <w:tc>
          <w:tcPr>
            <w:tcW w:type="dxa" w:w="430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فشل إعادة الموافقة / Re-consent failure</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shd w:val="clear" w:color="auto" w:fill="E7ECE8"/>
          </w:tcPr>
          <w:p>
            <w:r>
              <w:rPr>
                <w:rFonts w:ascii="IBM Plex Sans" w:hAnsi="IBM Plex Sans" w:cs="IBM Plex Sans"/>
                <w:b w:val="0"/>
                <w:color w:val="222222"/>
                <w:sz w:val="17"/>
                <w:szCs w:val="17"/>
              </w:rPr>
              <w:t>3</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6 — متوسط/Med</w:t>
            </w:r>
          </w:p>
        </w:tc>
        <w:tc>
          <w:tcPr>
            <w:tcW w:type="dxa" w:w="140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7"/>
                <w:szCs w:val="17"/>
                <w:rtl/>
              </w:rPr>
              <w:t>3 — منخفض/Low</w:t>
            </w:r>
          </w:p>
        </w:tc>
      </w:tr>
      <w:tr>
        <w:tc>
          <w:tcPr>
            <w:tcW w:type="dxa" w:w="374"/>
            <w:tcMar>
              <w:top w:w="60" w:type="dxa"/>
              <w:bottom w:w="60" w:type="dxa"/>
              <w:start w:w="110" w:type="dxa"/>
              <w:end w:w="110" w:type="dxa"/>
            </w:tcMar>
          </w:tcPr>
          <w:p>
            <w:r>
              <w:rPr>
                <w:rFonts w:ascii="IBM Plex Sans" w:hAnsi="IBM Plex Sans" w:cs="IBM Plex Sans"/>
                <w:b w:val="0"/>
                <w:color w:val="222222"/>
                <w:sz w:val="17"/>
                <w:szCs w:val="17"/>
              </w:rPr>
              <w:t>15</w:t>
            </w:r>
          </w:p>
        </w:tc>
        <w:tc>
          <w:tcPr>
            <w:tcW w:type="dxa" w:w="4305"/>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الاستبعاد من المشتريات / Procurement disqualification</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2</w:t>
            </w:r>
          </w:p>
        </w:tc>
        <w:tc>
          <w:tcPr>
            <w:tcW w:type="dxa" w:w="936"/>
            <w:tcMar>
              <w:top w:w="60" w:type="dxa"/>
              <w:bottom w:w="60" w:type="dxa"/>
              <w:start w:w="110" w:type="dxa"/>
              <w:end w:w="110" w:type="dxa"/>
            </w:tcMar>
          </w:tcPr>
          <w:p>
            <w:r>
              <w:rPr>
                <w:rFonts w:ascii="IBM Plex Sans" w:hAnsi="IBM Plex Sans" w:cs="IBM Plex Sans"/>
                <w:b w:val="0"/>
                <w:color w:val="222222"/>
                <w:sz w:val="17"/>
                <w:szCs w:val="17"/>
              </w:rPr>
              <w:t>4</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8 — متوسط/Med</w:t>
            </w:r>
          </w:p>
        </w:tc>
        <w:tc>
          <w:tcPr>
            <w:tcW w:type="dxa" w:w="1404"/>
            <w:tcMar>
              <w:top w:w="60" w:type="dxa"/>
              <w:bottom w:w="60" w:type="dxa"/>
              <w:start w:w="110" w:type="dxa"/>
              <w:end w:w="110" w:type="dxa"/>
            </w:tcMar>
          </w:tcPr>
          <w:p>
            <w:pPr>
              <w:bidi/>
              <w:jc w:val="right"/>
            </w:pPr>
            <w:r>
              <w:rPr>
                <w:rFonts w:ascii="IBM Plex Sans Arabic" w:hAnsi="IBM Plex Sans Arabic" w:cs="IBM Plex Sans Arabic"/>
                <w:b w:val="0"/>
                <w:color w:val="222222"/>
                <w:sz w:val="17"/>
                <w:szCs w:val="17"/>
                <w:rtl/>
              </w:rPr>
              <w:t>6 — متوسط/Med</w:t>
            </w:r>
          </w:p>
        </w:tc>
      </w:tr>
    </w:tbl>
    <w:p>
      <w:r>
        <w:br w:type="page"/>
      </w:r>
    </w:p>
    <w:p>
      <w:pPr>
        <w:bidi/>
        <w:spacing w:before="240" w:after="0"/>
        <w:jc w:val="right"/>
      </w:pPr>
      <w:r>
        <w:rPr>
          <w:rFonts w:ascii="IBM Plex Sans Arabic" w:hAnsi="IBM Plex Sans Arabic" w:cs="IBM Plex Sans Arabic"/>
          <w:b/>
          <w:color w:val="1B4332"/>
          <w:sz w:val="34"/>
          <w:szCs w:val="34"/>
          <w:rtl/>
        </w:rPr>
        <w:t>أبرز إجراءات التخفيف حسب الفئة</w:t>
      </w:r>
    </w:p>
    <w:p>
      <w:pPr>
        <w:spacing w:before="0" w:after="100"/>
      </w:pPr>
      <w:r>
        <w:rPr>
          <w:rFonts w:ascii="IBM Plex Sans" w:hAnsi="IBM Plex Sans" w:cs="IBM Plex Sans"/>
          <w:b/>
          <w:color w:val="1B4332"/>
          <w:sz w:val="30"/>
          <w:szCs w:val="30"/>
        </w:rPr>
        <w:t>Key Mitigations by Category</w:t>
      </w:r>
    </w:p>
    <w:p>
      <w:pPr>
        <w:bidi/>
        <w:spacing w:before="180" w:after="0"/>
        <w:jc w:val="right"/>
      </w:pPr>
      <w:r>
        <w:rPr>
          <w:rFonts w:ascii="IBM Plex Sans Arabic" w:hAnsi="IBM Plex Sans Arabic" w:cs="IBM Plex Sans Arabic"/>
          <w:b/>
          <w:color w:val="1B4332"/>
          <w:sz w:val="28"/>
          <w:szCs w:val="28"/>
          <w:rtl/>
        </w:rPr>
        <w:t>قانونية وتنظيمية</w:t>
      </w:r>
    </w:p>
    <w:p>
      <w:pPr>
        <w:spacing w:before="0" w:after="100"/>
      </w:pPr>
      <w:r>
        <w:rPr>
          <w:rFonts w:ascii="IBM Plex Sans" w:hAnsi="IBM Plex Sans" w:cs="IBM Plex Sans"/>
          <w:b/>
          <w:color w:val="1B4332"/>
          <w:sz w:val="25"/>
          <w:szCs w:val="25"/>
        </w:rPr>
        <w:t>Legal &amp; Regulatory</w:t>
      </w:r>
    </w:p>
    <w:p>
      <w:pPr>
        <w:bidi/>
        <w:spacing w:after="20" w:before="0"/>
        <w:jc w:val="right"/>
      </w:pPr>
      <w:r>
        <w:rPr>
          <w:rFonts w:ascii="IBM Plex Sans Arabic" w:hAnsi="IBM Plex Sans Arabic" w:cs="IBM Plex Sans Arabic"/>
          <w:b w:val="0"/>
          <w:color w:val="0D1B2A"/>
          <w:sz w:val="22"/>
          <w:szCs w:val="22"/>
          <w:rtl/>
        </w:rPr>
        <w:t>تعاقد بالدولار أو بالليرة مربوطة بحدّ أدنى دولاري؛ تنفيذ مذكّرة التفاهم قبل طلب الرخصة للحصول على تصريح تشغيل مؤقّت (المادة 4/3)؛ سجلّ امتثال حيّ يربط مواد القانون 12/2024 بالتنفيذ التقني؛ سياسة مكافحة فساد متوافقة مع FCPA وقانون الرشوة البريطاني.</w:t>
      </w:r>
    </w:p>
    <w:p>
      <w:pPr>
        <w:spacing w:after="180" w:before="0"/>
      </w:pPr>
      <w:r>
        <w:rPr>
          <w:rFonts w:ascii="IBM Plex Sans" w:hAnsi="IBM Plex Sans" w:cs="IBM Plex Sans"/>
          <w:b w:val="0"/>
          <w:color w:val="333333"/>
          <w:sz w:val="21"/>
          <w:szCs w:val="21"/>
        </w:rPr>
        <w:t>Contract in USD or USD-floored SYP; execute the MoU before the license application to obtain an interim operating permit (Art. 4/3); a live compliance register linking Law 12/2024 articles to technical implementation; an anti-bribery policy compliant with FCPA and the UK Bribery Act.</w:t>
      </w:r>
    </w:p>
    <w:p>
      <w:pPr>
        <w:bidi/>
        <w:spacing w:before="180" w:after="0"/>
        <w:jc w:val="right"/>
      </w:pPr>
      <w:r>
        <w:rPr>
          <w:rFonts w:ascii="IBM Plex Sans Arabic" w:hAnsi="IBM Plex Sans Arabic" w:cs="IBM Plex Sans Arabic"/>
          <w:b/>
          <w:color w:val="1B4332"/>
          <w:sz w:val="28"/>
          <w:szCs w:val="28"/>
          <w:rtl/>
        </w:rPr>
        <w:t>تقنية وأمنية</w:t>
      </w:r>
    </w:p>
    <w:p>
      <w:pPr>
        <w:spacing w:before="0" w:after="100"/>
      </w:pPr>
      <w:r>
        <w:rPr>
          <w:rFonts w:ascii="IBM Plex Sans" w:hAnsi="IBM Plex Sans" w:cs="IBM Plex Sans"/>
          <w:b/>
          <w:color w:val="1B4332"/>
          <w:sz w:val="25"/>
          <w:szCs w:val="25"/>
        </w:rPr>
        <w:t>Technical &amp; Security</w:t>
      </w:r>
    </w:p>
    <w:p>
      <w:pPr>
        <w:bidi/>
        <w:spacing w:after="20" w:before="0"/>
        <w:jc w:val="right"/>
      </w:pPr>
      <w:r>
        <w:rPr>
          <w:rFonts w:ascii="IBM Plex Sans Arabic" w:hAnsi="IBM Plex Sans Arabic" w:cs="IBM Plex Sans Arabic"/>
          <w:b w:val="0"/>
          <w:color w:val="0D1B2A"/>
          <w:sz w:val="22"/>
          <w:szCs w:val="22"/>
          <w:rtl/>
        </w:rPr>
        <w:t>تشفير TLS 1.3 وAES-256؛ صلاحيات حسب الدور؛ خطة استجابة للاختراق (داخلي 24 ساعة ← الوزارة 72 ساعة ← المتأثّرون 7 أيام)؛ فحص أمني ربع سنوي واختبار اختراق سنوي؛ نسخ احتياطي يومي خارج سورية.</w:t>
      </w:r>
    </w:p>
    <w:p>
      <w:pPr>
        <w:spacing w:after="180" w:before="0"/>
      </w:pPr>
      <w:r>
        <w:rPr>
          <w:rFonts w:ascii="IBM Plex Sans" w:hAnsi="IBM Plex Sans" w:cs="IBM Plex Sans"/>
          <w:b w:val="0"/>
          <w:color w:val="333333"/>
          <w:sz w:val="21"/>
          <w:szCs w:val="21"/>
        </w:rPr>
        <w:t>TLS 1.3 and AES-256 encryption; role-based access; a breach-response plan (internal 24h → Ministry 72h → subjects 7 days); quarterly scanning and annual penetration testing; daily backups outside Syria.</w:t>
      </w:r>
    </w:p>
    <w:p>
      <w:pPr>
        <w:bidi/>
        <w:spacing w:before="180" w:after="0"/>
        <w:jc w:val="right"/>
      </w:pPr>
      <w:r>
        <w:rPr>
          <w:rFonts w:ascii="IBM Plex Sans Arabic" w:hAnsi="IBM Plex Sans Arabic" w:cs="IBM Plex Sans Arabic"/>
          <w:b/>
          <w:color w:val="1B4332"/>
          <w:sz w:val="28"/>
          <w:szCs w:val="28"/>
          <w:rtl/>
        </w:rPr>
        <w:t>مالية</w:t>
      </w:r>
    </w:p>
    <w:p>
      <w:pPr>
        <w:spacing w:before="0" w:after="100"/>
      </w:pPr>
      <w:r>
        <w:rPr>
          <w:rFonts w:ascii="IBM Plex Sans" w:hAnsi="IBM Plex Sans" w:cs="IBM Plex Sans"/>
          <w:b/>
          <w:color w:val="1B4332"/>
          <w:sz w:val="25"/>
          <w:szCs w:val="25"/>
        </w:rPr>
        <w:t>Financial</w:t>
      </w:r>
    </w:p>
    <w:p>
      <w:pPr>
        <w:bidi/>
        <w:spacing w:after="20" w:before="0"/>
        <w:jc w:val="right"/>
      </w:pPr>
      <w:r>
        <w:rPr>
          <w:rFonts w:ascii="IBM Plex Sans Arabic" w:hAnsi="IBM Plex Sans Arabic" w:cs="IBM Plex Sans Arabic"/>
          <w:b w:val="0"/>
          <w:color w:val="0D1B2A"/>
          <w:sz w:val="22"/>
          <w:szCs w:val="22"/>
          <w:rtl/>
        </w:rPr>
        <w:t>مدفوعات شهرية وبنود تصعيد مرتبطة بسعر الصرف؛ مطابقة الإيرادات بالليرة مع التكاليف بالليرة (تحوّط طبيعي)؛ احتفاظ بثلاثة أشهر من المصاريف التشغيلية بالعملة الصعبة؛ حساب مصرفي مخصّص للمنح والامتثال لإطار مشتريات البنك الدولي.</w:t>
      </w:r>
    </w:p>
    <w:p>
      <w:pPr>
        <w:spacing w:after="180" w:before="0"/>
      </w:pPr>
      <w:r>
        <w:rPr>
          <w:rFonts w:ascii="IBM Plex Sans" w:hAnsi="IBM Plex Sans" w:cs="IBM Plex Sans"/>
          <w:b w:val="0"/>
          <w:color w:val="333333"/>
          <w:sz w:val="21"/>
          <w:szCs w:val="21"/>
        </w:rPr>
        <w:t>Monthly payments and FX-linked escalation clauses; matching SYP revenue with SYP costs (a natural hedge); holding three months of operating expenses in hard currency; a dedicated grant bank account and compliance with the World Bank procurement framework.</w:t>
      </w:r>
    </w:p>
    <w:p>
      <w:pPr>
        <w:bidi/>
        <w:spacing w:before="180" w:after="0"/>
        <w:jc w:val="right"/>
      </w:pPr>
      <w:r>
        <w:rPr>
          <w:rFonts w:ascii="IBM Plex Sans Arabic" w:hAnsi="IBM Plex Sans Arabic" w:cs="IBM Plex Sans Arabic"/>
          <w:b/>
          <w:color w:val="1B4332"/>
          <w:sz w:val="28"/>
          <w:szCs w:val="28"/>
          <w:rtl/>
        </w:rPr>
        <w:t>تشغيلية وسوقية</w:t>
      </w:r>
    </w:p>
    <w:p>
      <w:pPr>
        <w:spacing w:before="0" w:after="100"/>
      </w:pPr>
      <w:r>
        <w:rPr>
          <w:rFonts w:ascii="IBM Plex Sans" w:hAnsi="IBM Plex Sans" w:cs="IBM Plex Sans"/>
          <w:b/>
          <w:color w:val="1B4332"/>
          <w:sz w:val="25"/>
          <w:szCs w:val="25"/>
        </w:rPr>
        <w:t>Operational &amp; Market</w:t>
      </w:r>
    </w:p>
    <w:p>
      <w:pPr>
        <w:bidi/>
        <w:spacing w:after="20" w:before="0"/>
        <w:jc w:val="right"/>
      </w:pPr>
      <w:r>
        <w:rPr>
          <w:rFonts w:ascii="IBM Plex Sans Arabic" w:hAnsi="IBM Plex Sans Arabic" w:cs="IBM Plex Sans Arabic"/>
          <w:b w:val="0"/>
          <w:color w:val="0D1B2A"/>
          <w:sz w:val="22"/>
          <w:szCs w:val="22"/>
          <w:rtl/>
        </w:rPr>
        <w:t>بند قوة قاهرة يشمل الاضطراب المدني وإعادة فرض العقوبات؛ بنية موزّعة تبقى متاحة حتى مع تعطّل الإنترنت المحلّي؛ حماية خوارزميات الحساب كأسرار تجارية وتسجيل العلامة التجارية؛ والريادة تمنح خندقاً زمنياً 18–30 شهراً أمام أي منافس.</w:t>
      </w:r>
    </w:p>
    <w:p>
      <w:pPr>
        <w:spacing w:after="180" w:before="0"/>
      </w:pPr>
      <w:r>
        <w:rPr>
          <w:rFonts w:ascii="IBM Plex Sans" w:hAnsi="IBM Plex Sans" w:cs="IBM Plex Sans"/>
          <w:b w:val="0"/>
          <w:color w:val="333333"/>
          <w:sz w:val="21"/>
          <w:szCs w:val="21"/>
        </w:rPr>
        <w:t>A force-majeure clause covering civil disruption and sanctions reimposition; distributed infrastructure that stays available even if local internet is disrupted; protecting computation algorithms as trade secrets and registering the trademark; and first-mover advantage gives an 18–30 month moat against any entrant.</w:t>
      </w:r>
    </w:p>
    <w:p>
      <w:pPr>
        <w:bidi/>
        <w:spacing w:before="240" w:after="0"/>
        <w:jc w:val="right"/>
      </w:pPr>
      <w:r>
        <w:rPr>
          <w:rFonts w:ascii="IBM Plex Sans Arabic" w:hAnsi="IBM Plex Sans Arabic" w:cs="IBM Plex Sans Arabic"/>
          <w:b/>
          <w:color w:val="1B4332"/>
          <w:sz w:val="34"/>
          <w:szCs w:val="34"/>
          <w:rtl/>
        </w:rPr>
        <w:t>خطة العمل ذات الأولوية (90 يوماً)</w:t>
      </w:r>
    </w:p>
    <w:p>
      <w:pPr>
        <w:spacing w:before="0" w:after="100"/>
      </w:pPr>
      <w:r>
        <w:rPr>
          <w:rFonts w:ascii="IBM Plex Sans" w:hAnsi="IBM Plex Sans" w:cs="IBM Plex Sans"/>
          <w:b/>
          <w:color w:val="1B4332"/>
          <w:sz w:val="30"/>
          <w:szCs w:val="30"/>
        </w:rPr>
        <w:t>Priority Action Plan (90 Days)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3120"/>
        <w:gridCol w:w="3120"/>
        <w:gridCol w:w="3120"/>
      </w:tblGrid>
      <w:tr>
        <w:tc>
          <w:tcPr>
            <w:tcW w:type="dxa" w:w="112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الأولوية</w:t>
            </w:r>
            <w:r>
              <w:br/>
            </w:r>
            <w:r>
              <w:rPr>
                <w:rFonts w:ascii="IBM Plex Sans" w:hAnsi="IBM Plex Sans" w:cs="IBM Plex Sans"/>
                <w:b/>
                <w:color w:val="F9F6EF"/>
                <w:sz w:val="19"/>
                <w:szCs w:val="19"/>
              </w:rPr>
              <w:t>Priority</w:t>
            </w:r>
          </w:p>
        </w:tc>
        <w:tc>
          <w:tcPr>
            <w:tcW w:type="dxa" w:w="5990"/>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الإجراء</w:t>
            </w:r>
            <w:r>
              <w:br/>
            </w:r>
            <w:r>
              <w:rPr>
                <w:rFonts w:ascii="IBM Plex Sans" w:hAnsi="IBM Plex Sans" w:cs="IBM Plex Sans"/>
                <w:b/>
                <w:color w:val="F9F6EF"/>
                <w:sz w:val="19"/>
                <w:szCs w:val="19"/>
              </w:rPr>
              <w:t>Action</w:t>
            </w:r>
          </w:p>
        </w:tc>
        <w:tc>
          <w:tcPr>
            <w:tcW w:type="dxa" w:w="224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التوقيت</w:t>
            </w:r>
            <w:r>
              <w:br/>
            </w:r>
            <w:r>
              <w:rPr>
                <w:rFonts w:ascii="IBM Plex Sans" w:hAnsi="IBM Plex Sans" w:cs="IBM Plex Sans"/>
                <w:b/>
                <w:color w:val="F9F6EF"/>
                <w:sz w:val="19"/>
                <w:szCs w:val="19"/>
              </w:rPr>
              <w:t>Timing</w:t>
            </w:r>
          </w:p>
        </w:tc>
      </w:tr>
      <w:tr>
        <w:tc>
          <w:tcPr>
            <w:tcW w:type="dxa" w:w="1123"/>
            <w:tcMar>
              <w:top w:w="60" w:type="dxa"/>
              <w:bottom w:w="60" w:type="dxa"/>
              <w:start w:w="110" w:type="dxa"/>
              <w:end w:w="110" w:type="dxa"/>
            </w:tcMar>
          </w:tcPr>
          <w:p>
            <w:r>
              <w:rPr>
                <w:rFonts w:ascii="IBM Plex Sans" w:hAnsi="IBM Plex Sans" w:cs="IBM Plex Sans"/>
                <w:b w:val="0"/>
                <w:color w:val="222222"/>
                <w:sz w:val="19"/>
                <w:szCs w:val="19"/>
              </w:rPr>
              <w:t>1</w:t>
            </w:r>
          </w:p>
        </w:tc>
        <w:tc>
          <w:tcPr>
            <w:tcW w:type="dxa" w:w="599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تنفيذ مذكّرة التفاهم لتفعيل التصريح المؤقّت / Execute MoU for interim authority</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1 / Month 1</w:t>
            </w:r>
          </w:p>
        </w:tc>
      </w:tr>
      <w:tr>
        <w:tc>
          <w:tcPr>
            <w:tcW w:type="dxa" w:w="1123"/>
            <w:tcMar>
              <w:top w:w="60" w:type="dxa"/>
              <w:bottom w:w="60" w:type="dxa"/>
              <w:start w:w="110" w:type="dxa"/>
              <w:end w:w="110" w:type="dxa"/>
            </w:tcMar>
            <w:shd w:val="clear" w:color="auto" w:fill="E7ECE8"/>
          </w:tcPr>
          <w:p>
            <w:r>
              <w:rPr>
                <w:rFonts w:ascii="IBM Plex Sans" w:hAnsi="IBM Plex Sans" w:cs="IBM Plex Sans"/>
                <w:b w:val="0"/>
                <w:color w:val="222222"/>
                <w:sz w:val="19"/>
                <w:szCs w:val="19"/>
              </w:rPr>
              <w:t>2</w:t>
            </w:r>
          </w:p>
        </w:tc>
        <w:tc>
          <w:tcPr>
            <w:tcW w:type="dxa" w:w="5990"/>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تقديم طلب رخصة الفئة B / File Class B license application</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1 / Month 1</w:t>
            </w:r>
          </w:p>
        </w:tc>
      </w:tr>
      <w:tr>
        <w:tc>
          <w:tcPr>
            <w:tcW w:type="dxa" w:w="1123"/>
            <w:tcMar>
              <w:top w:w="60" w:type="dxa"/>
              <w:bottom w:w="60" w:type="dxa"/>
              <w:start w:w="110" w:type="dxa"/>
              <w:end w:w="110" w:type="dxa"/>
            </w:tcMar>
          </w:tcPr>
          <w:p>
            <w:r>
              <w:rPr>
                <w:rFonts w:ascii="IBM Plex Sans" w:hAnsi="IBM Plex Sans" w:cs="IBM Plex Sans"/>
                <w:b w:val="0"/>
                <w:color w:val="222222"/>
                <w:sz w:val="19"/>
                <w:szCs w:val="19"/>
              </w:rPr>
              <w:t>3</w:t>
            </w:r>
          </w:p>
        </w:tc>
        <w:tc>
          <w:tcPr>
            <w:tcW w:type="dxa" w:w="599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توقيع اتفاقيات معالجة البيانات (Supabase/Vercel) / Sign DPAs</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1 / Month 1</w:t>
            </w:r>
          </w:p>
        </w:tc>
      </w:tr>
      <w:tr>
        <w:tc>
          <w:tcPr>
            <w:tcW w:type="dxa" w:w="1123"/>
            <w:tcMar>
              <w:top w:w="60" w:type="dxa"/>
              <w:bottom w:w="60" w:type="dxa"/>
              <w:start w:w="110" w:type="dxa"/>
              <w:end w:w="110" w:type="dxa"/>
            </w:tcMar>
            <w:shd w:val="clear" w:color="auto" w:fill="E7ECE8"/>
          </w:tcPr>
          <w:p>
            <w:r>
              <w:rPr>
                <w:rFonts w:ascii="IBM Plex Sans" w:hAnsi="IBM Plex Sans" w:cs="IBM Plex Sans"/>
                <w:b w:val="0"/>
                <w:color w:val="222222"/>
                <w:sz w:val="19"/>
                <w:szCs w:val="19"/>
              </w:rPr>
              <w:t>4</w:t>
            </w:r>
          </w:p>
        </w:tc>
        <w:tc>
          <w:tcPr>
            <w:tcW w:type="dxa" w:w="5990"/>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اعتماد سياسة مكافحة الفساد / Adopt anti-bribery policy</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1 / Month 1</w:t>
            </w:r>
          </w:p>
        </w:tc>
      </w:tr>
      <w:tr>
        <w:tc>
          <w:tcPr>
            <w:tcW w:type="dxa" w:w="1123"/>
            <w:tcMar>
              <w:top w:w="60" w:type="dxa"/>
              <w:bottom w:w="60" w:type="dxa"/>
              <w:start w:w="110" w:type="dxa"/>
              <w:end w:w="110" w:type="dxa"/>
            </w:tcMar>
          </w:tcPr>
          <w:p>
            <w:r>
              <w:rPr>
                <w:rFonts w:ascii="IBM Plex Sans" w:hAnsi="IBM Plex Sans" w:cs="IBM Plex Sans"/>
                <w:b w:val="0"/>
                <w:color w:val="222222"/>
                <w:sz w:val="19"/>
                <w:szCs w:val="19"/>
              </w:rPr>
              <w:t>5</w:t>
            </w:r>
          </w:p>
        </w:tc>
        <w:tc>
          <w:tcPr>
            <w:tcW w:type="dxa" w:w="599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إنجاز تقييم أثر حماية البيانات (DPIA) / Complete DPIA</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2 / Month 2</w:t>
            </w:r>
          </w:p>
        </w:tc>
      </w:tr>
      <w:tr>
        <w:tc>
          <w:tcPr>
            <w:tcW w:type="dxa" w:w="1123"/>
            <w:tcMar>
              <w:top w:w="60" w:type="dxa"/>
              <w:bottom w:w="60" w:type="dxa"/>
              <w:start w:w="110" w:type="dxa"/>
              <w:end w:w="110" w:type="dxa"/>
            </w:tcMar>
            <w:shd w:val="clear" w:color="auto" w:fill="E7ECE8"/>
          </w:tcPr>
          <w:p>
            <w:r>
              <w:rPr>
                <w:rFonts w:ascii="IBM Plex Sans" w:hAnsi="IBM Plex Sans" w:cs="IBM Plex Sans"/>
                <w:b w:val="0"/>
                <w:color w:val="222222"/>
                <w:sz w:val="19"/>
                <w:szCs w:val="19"/>
              </w:rPr>
              <w:t>6</w:t>
            </w:r>
          </w:p>
        </w:tc>
        <w:tc>
          <w:tcPr>
            <w:tcW w:type="dxa" w:w="5990"/>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تسجيل العلامة التجارية / Register trademark</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2 / Month 2</w:t>
            </w:r>
          </w:p>
        </w:tc>
      </w:tr>
      <w:tr>
        <w:tc>
          <w:tcPr>
            <w:tcW w:type="dxa" w:w="1123"/>
            <w:tcMar>
              <w:top w:w="60" w:type="dxa"/>
              <w:bottom w:w="60" w:type="dxa"/>
              <w:start w:w="110" w:type="dxa"/>
              <w:end w:w="110" w:type="dxa"/>
            </w:tcMar>
          </w:tcPr>
          <w:p>
            <w:r>
              <w:rPr>
                <w:rFonts w:ascii="IBM Plex Sans" w:hAnsi="IBM Plex Sans" w:cs="IBM Plex Sans"/>
                <w:b w:val="0"/>
                <w:color w:val="222222"/>
                <w:sz w:val="19"/>
                <w:szCs w:val="19"/>
              </w:rPr>
              <w:t>7</w:t>
            </w:r>
          </w:p>
        </w:tc>
        <w:tc>
          <w:tcPr>
            <w:tcW w:type="dxa" w:w="599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عرض سعر تأمين المخاطر السياسية / Political-risk insurance quote</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3 / Month 3</w:t>
            </w:r>
          </w:p>
        </w:tc>
      </w:tr>
      <w:tr>
        <w:tc>
          <w:tcPr>
            <w:tcW w:type="dxa" w:w="1123"/>
            <w:tcMar>
              <w:top w:w="60" w:type="dxa"/>
              <w:bottom w:w="60" w:type="dxa"/>
              <w:start w:w="110" w:type="dxa"/>
              <w:end w:w="110" w:type="dxa"/>
            </w:tcMar>
            <w:shd w:val="clear" w:color="auto" w:fill="E7ECE8"/>
          </w:tcPr>
          <w:p>
            <w:r>
              <w:rPr>
                <w:rFonts w:ascii="IBM Plex Sans" w:hAnsi="IBM Plex Sans" w:cs="IBM Plex Sans"/>
                <w:b w:val="0"/>
                <w:color w:val="222222"/>
                <w:sz w:val="19"/>
                <w:szCs w:val="19"/>
              </w:rPr>
              <w:t>8</w:t>
            </w:r>
          </w:p>
        </w:tc>
        <w:tc>
          <w:tcPr>
            <w:tcW w:type="dxa" w:w="5990"/>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تحليل حرّية التشغيل / Freedom-to-operate analysis</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3 / Month 3</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w:hAnsi="IBM Plex Sans" w:cs="IBM Plex Sans"/>
        <w:b w:val="0"/>
        <w:color w:val="7A7060"/>
        <w:sz w:val="16"/>
        <w:szCs w:val="16"/>
      </w:rPr>
      <w:t>© 2026 Damascus Transit Technologies Ltd.  ·  damascustransit.com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s="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