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/>
        <w:jc w:val="right"/>
      </w:pPr>
      <w:r>
        <w:rPr>
          <w:rFonts w:ascii="IBM Plex Sans Arabic" w:hAnsi="IBM Plex Sans Arabic" w:cs="IBM Plex Sans Arabic"/>
          <w:b/>
          <w:color w:val="1B4332"/>
          <w:sz w:val="30"/>
          <w:szCs w:val="30"/>
          <w:rtl/>
        </w:rPr>
        <w:t>مخطّط نموذج العمل — دمشق ترانزيت</w:t>
      </w:r>
    </w:p>
    <w:p>
      <w:pPr>
        <w:spacing w:after="80"/>
      </w:pPr>
      <w:r>
        <w:rPr>
          <w:rFonts w:ascii="IBM Plex Sans" w:hAnsi="IBM Plex Sans" w:cs="IBM Plex Sans"/>
          <w:b/>
          <w:color w:val="C4B47E"/>
          <w:sz w:val="24"/>
          <w:szCs w:val="24"/>
        </w:rPr>
        <w:t>Business Model Canvas — Damascus Transit Technologies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BBF"/>
          <w:left w:val="single" w:sz="4" w:space="0" w:color="CFCBBF"/>
          <w:bottom w:val="single" w:sz="4" w:space="0" w:color="CFCBBF"/>
          <w:right w:val="single" w:sz="4" w:space="0" w:color="CFCBBF"/>
          <w:insideH w:val="single" w:sz="4" w:space="0" w:color="CFCBBF"/>
          <w:insideV w:val="single" w:sz="4" w:space="0" w:color="CFCBBF"/>
        </w:tblBorders>
      </w:tblPr>
      <w:tblGrid>
        <w:gridCol w:w="2880"/>
        <w:gridCol w:w="2880"/>
        <w:gridCol w:w="2880"/>
        <w:gridCol w:w="2880"/>
        <w:gridCol w:w="2880"/>
      </w:tblGrid>
      <w:tr>
        <w:tc>
          <w:tcPr>
            <w:tcW w:type="dxa" w:w="2880"/>
            <w:vMerge w:val="restart"/>
            <w:shd w:val="clear" w:color="auto" w:fill="E7EC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Key Partners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شركاء رئيسيون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Ministry of Transport (anchor)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وزارة النقل (المرتكز)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GPS / Traccar suppliers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موردو أجهزة GPS / Traccar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Syriatel &amp; MTN (connectivity)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سيرياتيل وMTN (الاتصال)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World Bank / UNDP (funding)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البنك الدولي / UNDP (تمويل)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Damascus Governorate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محافظة دمشق</w:t>
            </w:r>
          </w:p>
        </w:tc>
        <w:tc>
          <w:tcPr>
            <w:tcW w:type="dxa" w:w="2880"/>
            <w:shd w:val="clear" w:color="auto" w:fill="F1ECDD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Key Activities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أنشطة رئيسية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Platform dev &amp; maintenance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تطوير المنصّة وصيانتها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Route data curation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تنسيق بيانات المسارات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Operator onboarding &amp; GPS install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إدماج المشغّلين وتركيب GPS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GTFS feed maintenance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صيانة تغذية GTFS</w:t>
            </w:r>
          </w:p>
        </w:tc>
        <w:tc>
          <w:tcPr>
            <w:tcW w:type="dxa" w:w="2880"/>
            <w:vMerge w:val="restart"/>
            <w:shd w:val="clear" w:color="auto" w:fill="F1ECDD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Value Propositions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القيمة المقدّمة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First real-time fleet visibility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أوّل رؤية لحظية للأسطول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Route-compliance automation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أتمتة الالتزام بالمسار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Government-grade analytics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تحليلات بمستوى حكومي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Damascus on Google/Apple Maps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دمشق على خرائط Google/Apple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Data sovereignty (stays in Syria)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سيادة البيانات (تبقى في سورية)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3–5× cheaper than alternatives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أرخص 3–5 أضعاف من البدائل</w:t>
            </w:r>
          </w:p>
        </w:tc>
        <w:tc>
          <w:tcPr>
            <w:tcW w:type="dxa" w:w="2880"/>
            <w:shd w:val="clear" w:color="auto" w:fill="F1ECDD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Customer Relationships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علاقات العملاء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Dedicated govt account mgmt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إدارة حساب حكومي مخصّص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Operator self-service + onboarding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خدمة ذاتية ودعم للمشغّلين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Zero-touch passenger app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تطبيق ركّاب دون تدخّل</w:t>
            </w:r>
          </w:p>
        </w:tc>
        <w:tc>
          <w:tcPr>
            <w:tcW w:type="dxa" w:w="2880"/>
            <w:vMerge w:val="restart"/>
            <w:shd w:val="clear" w:color="auto" w:fill="F1ECDD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Customer Segments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شرائح العملاء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Ministry of Transport (anchor)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وزارة النقل (المرتكز)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Private operators (200+)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مشغّلون خاصّون (200+)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Passengers (2.5M daily)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ركّاب (2.5 مليون يومياً)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Donors / NGOs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مانحون / منظّمات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Other Syrian cities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مدن سورية أخرى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  <w:shd w:val="clear" w:color="auto" w:fill="E7EC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Key Resources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موارد رئيسية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Production platform (live)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منصّة إنتاجية عاملة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PostGIS + GTFS + route data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قاعدة مكانية + GTFS + مسارات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Local Damascus team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فريق محلّي في دمشق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Open-source codebase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شيفرة مفتوحة المصدر</w:t>
            </w:r>
          </w:p>
        </w:tc>
        <w:tc>
          <w:tcPr>
            <w:tcW w:type="dxa" w:w="2880"/>
            <w:vMerge/>
          </w:tcPr>
          <w:p/>
        </w:tc>
        <w:tc>
          <w:tcPr>
            <w:tcW w:type="dxa" w:w="2880"/>
            <w:shd w:val="clear" w:color="auto" w:fill="E7ECE8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Channels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القنوات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Direct government sales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مبيعات حكومية مباشرة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Operator field onboarding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إدماج ميداني للمشغّلين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Passenger PWA (QR at stops)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تطبيق الركّاب (QR في المواقف)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GTFS → Google/Apple Maps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GTFS → خرائط Google/Apple</w:t>
            </w:r>
          </w:p>
        </w:tc>
        <w:tc>
          <w:tcPr>
            <w:tcW w:type="dxa" w:w="2880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FCBBF"/>
          <w:left w:val="single" w:sz="4" w:space="0" w:color="CFCBBF"/>
          <w:bottom w:val="single" w:sz="4" w:space="0" w:color="CFCBBF"/>
          <w:right w:val="single" w:sz="4" w:space="0" w:color="CFCBBF"/>
          <w:insideH w:val="single" w:sz="4" w:space="0" w:color="CFCBBF"/>
          <w:insideV w:val="single" w:sz="4" w:space="0" w:color="CFCBBF"/>
        </w:tblBorders>
      </w:tblPr>
      <w:tblGrid>
        <w:gridCol w:w="7200"/>
        <w:gridCol w:w="7200"/>
      </w:tblGrid>
      <w:tr>
        <w:tc>
          <w:tcPr>
            <w:tcW w:type="dxa" w:w="7200"/>
            <w:shd w:val="clear" w:color="auto" w:fill="F1ECDD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Cost Structure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هيكل التكاليف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Cloud hosting: $0 (free tiers)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الاستضافة: $0 (طبقات مجانية)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GPS SIM data: ~$1/vehicle/mo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بيانات SIM: ~$1/مركبة/شهر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GPS hardware: $15–25/device (one-time)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العتاد: $15–25/جهاز (لمرة)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Engineering team (primary cost)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فريق الهندسة (الكلفة الأساسية)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≈ $2/vehicle/month at scale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≈ $2/مركبة/شهر عند التوسّع</w:t>
            </w:r>
          </w:p>
        </w:tc>
        <w:tc>
          <w:tcPr>
            <w:tcW w:type="dxa" w:w="7200"/>
            <w:shd w:val="clear" w:color="auto" w:fill="F1ECDD"/>
            <w:tcMar>
              <w:top w:w="50" w:type="dxa"/>
              <w:bottom w:w="50" w:type="dxa"/>
              <w:start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IBM Plex Sans" w:hAnsi="IBM Plex Sans" w:cs="IBM Plex Sans"/>
                <w:b/>
                <w:color w:val="1B4332"/>
                <w:sz w:val="17"/>
                <w:szCs w:val="17"/>
              </w:rPr>
              <w:t>Revenue Streams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/>
                <w:color w:val="1B4332"/>
                <w:sz w:val="17"/>
                <w:szCs w:val="17"/>
                <w:rtl/>
              </w:rPr>
              <w:t>مصادر الإيراد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Government contracts: $500–5,000/mo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عقود حكومية: $500–5,000/شهر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Operator SaaS: $50–200/operator/mo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اشتراكات المشغّلين: $50–200/شهر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Data licensing (planners, donors)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ترخيص البيانات (مخطّطون، مانحون)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City licensing (Aleppo, Homs…)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ترخيص المدن (حلب، حمص…)</w:t>
            </w:r>
          </w:p>
          <w:p>
            <w:pPr>
              <w:spacing w:after="20"/>
            </w:pPr>
            <w:r>
              <w:rPr>
                <w:rFonts w:ascii="IBM Plex Sans" w:hAnsi="IBM Plex Sans" w:cs="IBM Plex Sans"/>
                <w:b w:val="0"/>
                <w:color w:val="333333"/>
                <w:sz w:val="15"/>
                <w:szCs w:val="15"/>
              </w:rPr>
              <w:t>• Advertising + grants (WB, UNDP)</w:t>
            </w:r>
          </w:p>
          <w:p>
            <w:pPr>
              <w:spacing w:after="40"/>
              <w:bidi/>
              <w:jc w:val="right"/>
            </w:pPr>
            <w:r>
              <w:rPr>
                <w:rFonts w:ascii="IBM Plex Sans Arabic" w:hAnsi="IBM Plex Sans Arabic" w:cs="IBM Plex Sans Arabic"/>
                <w:b w:val="0"/>
                <w:color w:val="555555"/>
                <w:sz w:val="15"/>
                <w:szCs w:val="15"/>
                <w:rtl/>
              </w:rPr>
              <w:t>إعلانات + منح (البنك الدولي، UNDP)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BM Plex Sans" w:hAnsi="IBM Plex Sans" w:cs="IBM Plex Sans"/>
        <w:b w:val="0"/>
        <w:color w:val="7A7060"/>
        <w:sz w:val="16"/>
        <w:szCs w:val="16"/>
      </w:rPr>
      <w:t>© 2026 Damascus Transit Technologies Ltd.  ·  damascustransit.com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 w:cs="IBM Plex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