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868680" cy="868680"/>
                    </a:xfrm>
                    <a:prstGeom prst="rect"/>
                  </pic:spPr>
                </pic:pic>
              </a:graphicData>
            </a:graphic>
          </wp:inline>
        </w:drawing>
      </w:r>
    </w:p>
    <w:p>
      <w:pPr>
        <w:spacing w:after="200"/>
      </w:pPr>
    </w:p>
    <w:tbl>
      <w:tblPr>
        <w:tblW w:type="auto" w:w="0"/>
        <w:jc w:val="center"/>
        <w:tblLook w:firstColumn="1" w:firstRow="1" w:lastColumn="0" w:lastRow="0" w:noHBand="0" w:noVBand="1" w:val="04A0"/>
      </w:tblPr>
      <w:tblGrid>
        <w:gridCol w:w="9360"/>
      </w:tblGrid>
      <w:tr>
        <w:tc>
          <w:tcPr>
            <w:tcW w:type="dxa" w:w="9360"/>
            <w:shd w:val="clear" w:color="auto" w:fill="1B4332"/>
            <w:tcMar>
              <w:top w:w="220" w:type="dxa"/>
              <w:bottom w:w="220" w:type="dxa"/>
              <w:start w:w="200" w:type="dxa"/>
              <w:end w:w="200" w:type="dxa"/>
            </w:tcMar>
          </w:tcPr>
          <w:p>
            <w:pPr>
              <w:bidi/>
              <w:spacing w:after="80"/>
              <w:jc w:val="right"/>
            </w:pPr>
            <w:r>
              <w:rPr>
                <w:rFonts w:ascii="IBM Plex Sans Arabic" w:hAnsi="IBM Plex Sans Arabic" w:cs="IBM Plex Sans Arabic"/>
                <w:b/>
                <w:color w:val="F9F6EF"/>
                <w:sz w:val="46"/>
                <w:szCs w:val="46"/>
                <w:rtl/>
              </w:rPr>
              <w:t>ملخّص الخطّة المالية والأرباح المتوقّعة</w:t>
            </w:r>
          </w:p>
          <w:p>
            <w:pPr>
              <w:spacing w:before="0"/>
            </w:pPr>
            <w:r>
              <w:rPr>
                <w:rFonts w:ascii="IBM Plex Sans" w:hAnsi="IBM Plex Sans" w:cs="IBM Plex Sans"/>
                <w:b/>
                <w:color w:val="C4B47E"/>
                <w:sz w:val="36"/>
                <w:szCs w:val="36"/>
              </w:rPr>
              <w:t>Financial Plan &amp; Profit Outlook</w:t>
            </w:r>
          </w:p>
        </w:tc>
      </w:tr>
    </w:tbl>
    <w:p>
      <w:pPr>
        <w:spacing w:before="280"/>
        <w:bidi/>
        <w:jc w:val="right"/>
      </w:pPr>
      <w:r>
        <w:rPr>
          <w:rFonts w:ascii="IBM Plex Sans Arabic" w:hAnsi="IBM Plex Sans Arabic" w:cs="IBM Plex Sans Arabic"/>
          <w:b w:val="0"/>
          <w:color w:val="7A7060"/>
          <w:sz w:val="25"/>
          <w:szCs w:val="25"/>
          <w:rtl/>
        </w:rPr>
        <w:t>مرافق لنموذج Excel المالي — بالدولار مع مكافئ بالليرة الجديدة</w:t>
      </w:r>
    </w:p>
    <w:p>
      <w:pPr>
        <w:spacing w:after="40"/>
      </w:pPr>
      <w:r>
        <w:rPr>
          <w:rFonts w:ascii="IBM Plex Sans" w:hAnsi="IBM Plex Sans" w:cs="IBM Plex Sans"/>
          <w:b w:val="0"/>
          <w:color w:val="7A7060"/>
          <w:sz w:val="22"/>
          <w:szCs w:val="22"/>
        </w:rPr>
        <w:t>Companion to the Excel model — USD with new-SYP equivalents</w:t>
      </w:r>
    </w:p>
    <w:p>
      <w:pPr>
        <w:spacing w:before="40" w:after="120"/>
        <w:pBdr>
          <w:bottom w:val="single" w:sz="12" w:space="1" w:color="C4B47E"/>
        </w:pBdr>
      </w:pPr>
    </w:p>
    <w:p>
      <w:pPr>
        <w:bidi/>
        <w:jc w:val="right"/>
      </w:pPr>
      <w:r>
        <w:rPr>
          <w:rFonts w:ascii="IBM Plex Sans Arabic" w:hAnsi="IBM Plex Sans Arabic" w:cs="IBM Plex Sans Arabic"/>
          <w:b/>
          <w:color w:val="1B4332"/>
          <w:sz w:val="22"/>
          <w:szCs w:val="22"/>
          <w:rtl/>
        </w:rPr>
        <w:t>الخطّة المالية</w:t>
      </w:r>
    </w:p>
    <w:p>
      <w:r>
        <w:rPr>
          <w:rFonts w:ascii="IBM Plex Sans" w:hAnsi="IBM Plex Sans" w:cs="IBM Plex Sans"/>
          <w:b w:val="0"/>
          <w:color w:val="7A7060"/>
          <w:sz w:val="20"/>
          <w:szCs w:val="20"/>
        </w:rPr>
        <w:t>Financial Plan Summary   ·   June 2026</w:t>
      </w:r>
    </w:p>
    <w:p>
      <w:pPr>
        <w:spacing w:before="40"/>
      </w:pPr>
      <w:r>
        <w:rPr>
          <w:rFonts w:ascii="IBM Plex Sans" w:hAnsi="IBM Plex Sans" w:cs="IBM Plex Sans"/>
          <w:b w:val="0"/>
          <w:color w:val="7A7060"/>
          <w:sz w:val="18"/>
          <w:szCs w:val="18"/>
        </w:rPr>
        <w:t>سرّي — لاستخدام وزارة النقل   ·   Confidential — For Ministry of Transport use</w:t>
      </w:r>
    </w:p>
    <w:p>
      <w:r>
        <w:br w:type="page"/>
      </w:r>
    </w:p>
    <w:p>
      <w:pPr>
        <w:bidi/>
        <w:spacing w:before="240" w:after="0"/>
        <w:jc w:val="right"/>
      </w:pPr>
      <w:r>
        <w:rPr>
          <w:rFonts w:ascii="IBM Plex Sans Arabic" w:hAnsi="IBM Plex Sans Arabic" w:cs="IBM Plex Sans Arabic"/>
          <w:b/>
          <w:color w:val="1B4332"/>
          <w:sz w:val="34"/>
          <w:szCs w:val="34"/>
          <w:rtl/>
        </w:rPr>
        <w:t>نظرة عامة</w:t>
      </w:r>
    </w:p>
    <w:p>
      <w:pPr>
        <w:spacing w:before="0" w:after="100"/>
      </w:pPr>
      <w:r>
        <w:rPr>
          <w:rFonts w:ascii="IBM Plex Sans" w:hAnsi="IBM Plex Sans" w:cs="IBM Plex Sans"/>
          <w:b/>
          <w:color w:val="1B4332"/>
          <w:sz w:val="30"/>
          <w:szCs w:val="30"/>
        </w:rPr>
        <w:t>Overview</w:t>
      </w:r>
    </w:p>
    <w:p>
      <w:pPr>
        <w:bidi/>
        <w:spacing w:after="20" w:before="0"/>
        <w:jc w:val="right"/>
      </w:pPr>
      <w:r>
        <w:rPr>
          <w:rFonts w:ascii="IBM Plex Sans Arabic" w:hAnsi="IBM Plex Sans Arabic" w:cs="IBM Plex Sans Arabic"/>
          <w:b w:val="0"/>
          <w:color w:val="0D1B2A"/>
          <w:sz w:val="22"/>
          <w:szCs w:val="22"/>
          <w:rtl/>
        </w:rPr>
        <w:t>الشركة في مرحلة ما قبل الإيراد، وتكلفة البنية التحتية صفر دولار شهرياً على الطبقات المجانية. الحدث المالي الأهمّ قريباً هو توقيع البرنامج التجريبي مع الوزارة. اقتصاديات الوحدة قوية جداً (هامش إجمالي 80–96%)، ما يتيح الربحية عند نطاق صغير.</w:t>
      </w:r>
    </w:p>
    <w:p>
      <w:pPr>
        <w:spacing w:after="180" w:before="0"/>
      </w:pPr>
      <w:r>
        <w:rPr>
          <w:rFonts w:ascii="IBM Plex Sans" w:hAnsi="IBM Plex Sans" w:cs="IBM Plex Sans"/>
          <w:b w:val="0"/>
          <w:color w:val="333333"/>
          <w:sz w:val="21"/>
          <w:szCs w:val="21"/>
        </w:rPr>
        <w:t>The company is pre-revenue with USD 0/month infrastructure cost on free tiers. The most important near-term financial event is signing the Ministry pilot. Unit economics are very strong (80–96% gross margin), enabling profitability at small scale.</w:t>
      </w:r>
    </w:p>
    <w:p>
      <w:pPr>
        <w:bidi/>
        <w:spacing w:before="240" w:after="0"/>
        <w:jc w:val="right"/>
      </w:pPr>
      <w:r>
        <w:rPr>
          <w:rFonts w:ascii="IBM Plex Sans Arabic" w:hAnsi="IBM Plex Sans Arabic" w:cs="IBM Plex Sans Arabic"/>
          <w:b/>
          <w:color w:val="1B4332"/>
          <w:sz w:val="34"/>
          <w:szCs w:val="34"/>
          <w:rtl/>
        </w:rPr>
        <w:t>مصادر الإيراد</w:t>
      </w:r>
    </w:p>
    <w:p>
      <w:pPr>
        <w:spacing w:before="0" w:after="100"/>
      </w:pPr>
      <w:r>
        <w:rPr>
          <w:rFonts w:ascii="IBM Plex Sans" w:hAnsi="IBM Plex Sans" w:cs="IBM Plex Sans"/>
          <w:b/>
          <w:color w:val="1B4332"/>
          <w:sz w:val="30"/>
          <w:szCs w:val="30"/>
        </w:rPr>
        <w:t>Revenue Streams</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2995"/>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المصدر</w:t>
            </w:r>
            <w:r>
              <w:br/>
            </w:r>
            <w:r>
              <w:rPr>
                <w:rFonts w:ascii="IBM Plex Sans" w:hAnsi="IBM Plex Sans" w:cs="IBM Plex Sans"/>
                <w:b/>
                <w:color w:val="F9F6EF"/>
                <w:sz w:val="19"/>
                <w:szCs w:val="19"/>
              </w:rPr>
              <w:t>Stream</w:t>
            </w:r>
          </w:p>
        </w:tc>
        <w:tc>
          <w:tcPr>
            <w:tcW w:type="dxa" w:w="636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الوصف</w:t>
            </w:r>
            <w:r>
              <w:br/>
            </w:r>
            <w:r>
              <w:rPr>
                <w:rFonts w:ascii="IBM Plex Sans" w:hAnsi="IBM Plex Sans" w:cs="IBM Plex Sans"/>
                <w:b/>
                <w:color w:val="F9F6EF"/>
                <w:sz w:val="19"/>
                <w:szCs w:val="19"/>
              </w:rPr>
              <w:t>Description</w:t>
            </w:r>
          </w:p>
        </w:tc>
      </w:tr>
      <w:tr>
        <w:tc>
          <w:tcPr>
            <w:tcW w:type="dxa" w:w="299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عقود حكومية / Government contracts</w:t>
            </w:r>
          </w:p>
        </w:tc>
        <w:tc>
          <w:tcPr>
            <w:tcW w:type="dxa" w:w="636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المرتكز: تجربة $500/شهر ← المرحلة 2 بـ$5,000/شهر / Anchor: pilot $500 → Phase 2 $5,000/mo</w:t>
            </w:r>
          </w:p>
        </w:tc>
      </w:tr>
      <w:tr>
        <w:tc>
          <w:tcPr>
            <w:tcW w:type="dxa" w:w="299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اشتراكات المشغّلين / Operator SaaS</w:t>
            </w:r>
          </w:p>
        </w:tc>
        <w:tc>
          <w:tcPr>
            <w:tcW w:type="dxa" w:w="636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200+ مشغّل بـ$50–200/شهر / 200+ operators at $50–200/mo</w:t>
            </w:r>
          </w:p>
        </w:tc>
      </w:tr>
      <w:tr>
        <w:tc>
          <w:tcPr>
            <w:tcW w:type="dxa" w:w="299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ترخيص البيانات / Data licensing</w:t>
            </w:r>
          </w:p>
        </w:tc>
        <w:tc>
          <w:tcPr>
            <w:tcW w:type="dxa" w:w="636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بيانات نقل مجهّلة للمخطّطين والمانحين / Anonymized transit data</w:t>
            </w:r>
          </w:p>
        </w:tc>
      </w:tr>
      <w:tr>
        <w:tc>
          <w:tcPr>
            <w:tcW w:type="dxa" w:w="2995"/>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ترخيص المدن / City licensing</w:t>
            </w:r>
          </w:p>
        </w:tc>
        <w:tc>
          <w:tcPr>
            <w:tcW w:type="dxa" w:w="636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تكرار المنصّة لحلب وحمص واللاذقية / Replication to other cities</w:t>
            </w:r>
          </w:p>
        </w:tc>
      </w:tr>
      <w:tr>
        <w:tc>
          <w:tcPr>
            <w:tcW w:type="dxa" w:w="2995"/>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الإعلانات والمنح / Advertising &amp; grants</w:t>
            </w:r>
          </w:p>
        </w:tc>
        <w:tc>
          <w:tcPr>
            <w:tcW w:type="dxa" w:w="636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إعلانات داخل التطبيق + منح البنك الدولي/UNDP / In-app ads + grants</w:t>
            </w:r>
          </w:p>
        </w:tc>
      </w:tr>
    </w:tbl>
    <w:p>
      <w:pPr>
        <w:bidi/>
        <w:spacing w:before="240" w:after="0"/>
        <w:jc w:val="right"/>
      </w:pPr>
      <w:r>
        <w:rPr>
          <w:rFonts w:ascii="IBM Plex Sans Arabic" w:hAnsi="IBM Plex Sans Arabic" w:cs="IBM Plex Sans Arabic"/>
          <w:b/>
          <w:color w:val="1B4332"/>
          <w:sz w:val="34"/>
          <w:szCs w:val="34"/>
          <w:rtl/>
        </w:rPr>
        <w:t>اقتصاديات الوحدة</w:t>
      </w:r>
    </w:p>
    <w:p>
      <w:pPr>
        <w:spacing w:before="0" w:after="100"/>
      </w:pPr>
      <w:r>
        <w:rPr>
          <w:rFonts w:ascii="IBM Plex Sans" w:hAnsi="IBM Plex Sans" w:cs="IBM Plex Sans"/>
          <w:b/>
          <w:color w:val="1B4332"/>
          <w:sz w:val="30"/>
          <w:szCs w:val="30"/>
        </w:rPr>
        <w:t>Unit Economics</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61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المقياس</w:t>
            </w:r>
            <w:r>
              <w:br/>
            </w:r>
            <w:r>
              <w:rPr>
                <w:rFonts w:ascii="IBM Plex Sans" w:hAnsi="IBM Plex Sans" w:cs="IBM Plex Sans"/>
                <w:b/>
                <w:color w:val="F9F6EF"/>
                <w:sz w:val="19"/>
                <w:szCs w:val="19"/>
              </w:rPr>
              <w:t>Metric</w:t>
            </w:r>
          </w:p>
        </w:tc>
        <w:tc>
          <w:tcPr>
            <w:tcW w:type="dxa" w:w="374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القيمة</w:t>
            </w:r>
            <w:r>
              <w:br/>
            </w:r>
            <w:r>
              <w:rPr>
                <w:rFonts w:ascii="IBM Plex Sans" w:hAnsi="IBM Plex Sans" w:cs="IBM Plex Sans"/>
                <w:b/>
                <w:color w:val="F9F6EF"/>
                <w:sz w:val="19"/>
                <w:szCs w:val="19"/>
              </w:rPr>
              <w:t>Value</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الإيراد لكل مركبة شهرياً / Revenue per vehicle/mo</w:t>
            </w:r>
          </w:p>
        </w:tc>
        <w:tc>
          <w:tcPr>
            <w:tcW w:type="dxa" w:w="3744"/>
            <w:tcMar>
              <w:top w:w="60" w:type="dxa"/>
              <w:bottom w:w="60" w:type="dxa"/>
              <w:start w:w="110" w:type="dxa"/>
              <w:end w:w="110" w:type="dxa"/>
            </w:tcMar>
          </w:tcPr>
          <w:p>
            <w:r>
              <w:rPr>
                <w:rFonts w:ascii="IBM Plex Sans" w:hAnsi="IBM Plex Sans" w:cs="IBM Plex Sans"/>
                <w:b w:val="0"/>
                <w:color w:val="222222"/>
                <w:sz w:val="19"/>
                <w:szCs w:val="19"/>
              </w:rPr>
              <w:t>$10 – $50</w:t>
            </w:r>
          </w:p>
        </w:tc>
      </w:tr>
      <w:tr>
        <w:tc>
          <w:tcPr>
            <w:tcW w:type="dxa" w:w="561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الكلفة المتغيّرة لكل مركبة / Variable cost per vehicle/mo</w:t>
            </w:r>
          </w:p>
        </w:tc>
        <w:tc>
          <w:tcPr>
            <w:tcW w:type="dxa" w:w="3744"/>
            <w:tcMar>
              <w:top w:w="60" w:type="dxa"/>
              <w:bottom w:w="60" w:type="dxa"/>
              <w:start w:w="110" w:type="dxa"/>
              <w:end w:w="110" w:type="dxa"/>
            </w:tcMar>
            <w:shd w:val="clear" w:color="auto" w:fill="E7ECE8"/>
          </w:tcPr>
          <w:p>
            <w:r>
              <w:rPr>
                <w:rFonts w:ascii="IBM Plex Sans" w:hAnsi="IBM Plex Sans" w:cs="IBM Plex Sans"/>
                <w:b w:val="0"/>
                <w:color w:val="222222"/>
                <w:sz w:val="19"/>
                <w:szCs w:val="19"/>
              </w:rPr>
              <w:t>~$2</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هامش الربح الإجمالي / Gross margin</w:t>
            </w:r>
          </w:p>
        </w:tc>
        <w:tc>
          <w:tcPr>
            <w:tcW w:type="dxa" w:w="3744"/>
            <w:tcMar>
              <w:top w:w="60" w:type="dxa"/>
              <w:bottom w:w="60" w:type="dxa"/>
              <w:start w:w="110" w:type="dxa"/>
              <w:end w:w="110" w:type="dxa"/>
            </w:tcMar>
          </w:tcPr>
          <w:p>
            <w:r>
              <w:rPr>
                <w:rFonts w:ascii="IBM Plex Sans" w:hAnsi="IBM Plex Sans" w:cs="IBM Plex Sans"/>
                <w:b w:val="0"/>
                <w:color w:val="222222"/>
                <w:sz w:val="19"/>
                <w:szCs w:val="19"/>
              </w:rPr>
              <w:t>80% – 96%</w:t>
            </w:r>
          </w:p>
        </w:tc>
      </w:tr>
      <w:tr>
        <w:tc>
          <w:tcPr>
            <w:tcW w:type="dxa" w:w="561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نقطة التعادل / Break-even</w:t>
            </w:r>
          </w:p>
        </w:tc>
        <w:tc>
          <w:tcPr>
            <w:tcW w:type="dxa" w:w="3744"/>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~50 مركبة / vehicles</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استرداد كلفة العتاد / Hardware payback</w:t>
            </w:r>
          </w:p>
        </w:tc>
        <w:tc>
          <w:tcPr>
            <w:tcW w:type="dxa" w:w="3744"/>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2–3 أشهر / months</w:t>
            </w:r>
          </w:p>
        </w:tc>
      </w:tr>
    </w:tbl>
    <w:p>
      <w:pPr>
        <w:bidi/>
        <w:spacing w:before="240" w:after="0"/>
        <w:jc w:val="right"/>
      </w:pPr>
      <w:r>
        <w:rPr>
          <w:rFonts w:ascii="IBM Plex Sans Arabic" w:hAnsi="IBM Plex Sans Arabic" w:cs="IBM Plex Sans Arabic"/>
          <w:b/>
          <w:color w:val="1B4332"/>
          <w:sz w:val="34"/>
          <w:szCs w:val="34"/>
          <w:rtl/>
        </w:rPr>
        <w:t>الأرباح المتوقّعة — كم سنربح؟</w:t>
      </w:r>
    </w:p>
    <w:p>
      <w:pPr>
        <w:spacing w:before="0" w:after="100"/>
      </w:pPr>
      <w:r>
        <w:rPr>
          <w:rFonts w:ascii="IBM Plex Sans" w:hAnsi="IBM Plex Sans" w:cs="IBM Plex Sans"/>
          <w:b/>
          <w:color w:val="1B4332"/>
          <w:sz w:val="30"/>
          <w:szCs w:val="30"/>
        </w:rPr>
        <w:t>Profit Outlook — How Much Profit?</w:t>
      </w:r>
    </w:p>
    <w:p>
      <w:pPr>
        <w:bidi/>
        <w:spacing w:after="20" w:before="0"/>
        <w:jc w:val="right"/>
      </w:pPr>
      <w:r>
        <w:rPr>
          <w:rFonts w:ascii="IBM Plex Sans Arabic" w:hAnsi="IBM Plex Sans Arabic" w:cs="IBM Plex Sans Arabic"/>
          <w:b w:val="0"/>
          <w:color w:val="0D1B2A"/>
          <w:sz w:val="22"/>
          <w:szCs w:val="22"/>
          <w:rtl/>
        </w:rPr>
        <w:t>وفق النموذج المرافق (السيناريو الأساسي للسنة الأولى): إجمالي الإيراد ~42,450 دولار، والربح التشغيلي ~27,140 دولار بعد خصم كلفة العتاد لمرة واحدة، بهامش إجمالي ~87% في الشهر 12. في السنة الثانية، مع وصول الأسطول إلى ~2,000 مركبة، يُقدَّر الإيراد السنوي بـ630,000 دولار.</w:t>
      </w:r>
    </w:p>
    <w:p>
      <w:pPr>
        <w:spacing w:after="180" w:before="0"/>
      </w:pPr>
      <w:r>
        <w:rPr>
          <w:rFonts w:ascii="IBM Plex Sans" w:hAnsi="IBM Plex Sans" w:cs="IBM Plex Sans"/>
          <w:b w:val="0"/>
          <w:color w:val="333333"/>
          <w:sz w:val="21"/>
          <w:szCs w:val="21"/>
        </w:rPr>
        <w:t>Per the companion model (Year-1 base scenario): total revenue ≈ USD 42,450 and operating profit ≈ USD 27,140 after one-time hardware, at ≈87% gross margin by Month 12. In Year 2, with the fleet reaching ~2,000 vehicles, ARR is estimated at USD 630,000.</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2340"/>
        <w:gridCol w:w="2340"/>
        <w:gridCol w:w="2340"/>
        <w:gridCol w:w="2340"/>
      </w:tblGrid>
      <w:tr>
        <w:tc>
          <w:tcPr>
            <w:tcW w:type="dxa" w:w="243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السيناريو (12 شهراً)</w:t>
            </w:r>
            <w:r>
              <w:br/>
            </w:r>
            <w:r>
              <w:rPr>
                <w:rFonts w:ascii="IBM Plex Sans" w:hAnsi="IBM Plex Sans" w:cs="IBM Plex Sans"/>
                <w:b/>
                <w:color w:val="F9F6EF"/>
                <w:sz w:val="19"/>
                <w:szCs w:val="19"/>
              </w:rPr>
              <w:t>12-month scenario</w:t>
            </w:r>
          </w:p>
        </w:tc>
        <w:tc>
          <w:tcPr>
            <w:tcW w:type="dxa" w:w="1872"/>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الإيراد بالدولار</w:t>
            </w:r>
            <w:r>
              <w:br/>
            </w:r>
            <w:r>
              <w:rPr>
                <w:rFonts w:ascii="IBM Plex Sans" w:hAnsi="IBM Plex Sans" w:cs="IBM Plex Sans"/>
                <w:b/>
                <w:color w:val="F9F6EF"/>
                <w:sz w:val="19"/>
                <w:szCs w:val="19"/>
              </w:rPr>
              <w:t>Revenue (USD)</w:t>
            </w:r>
          </w:p>
        </w:tc>
        <w:tc>
          <w:tcPr>
            <w:tcW w:type="dxa" w:w="243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 بالليرة الجديدة</w:t>
            </w:r>
            <w:r>
              <w:br/>
            </w:r>
            <w:r>
              <w:rPr>
                <w:rFonts w:ascii="IBM Plex Sans" w:hAnsi="IBM Plex Sans" w:cs="IBM Plex Sans"/>
                <w:b/>
                <w:color w:val="F9F6EF"/>
                <w:sz w:val="19"/>
                <w:szCs w:val="19"/>
              </w:rPr>
              <w:t>≈ new SYP</w:t>
            </w:r>
          </w:p>
        </w:tc>
        <w:tc>
          <w:tcPr>
            <w:tcW w:type="dxa" w:w="2620"/>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الوصف</w:t>
            </w:r>
            <w:r>
              <w:br/>
            </w:r>
            <w:r>
              <w:rPr>
                <w:rFonts w:ascii="IBM Plex Sans" w:hAnsi="IBM Plex Sans" w:cs="IBM Plex Sans"/>
                <w:b/>
                <w:color w:val="F9F6EF"/>
                <w:sz w:val="19"/>
                <w:szCs w:val="19"/>
              </w:rPr>
              <w:t>Description</w:t>
            </w:r>
          </w:p>
        </w:tc>
      </w:tr>
      <w:tr>
        <w:tc>
          <w:tcPr>
            <w:tcW w:type="dxa" w:w="243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متحفّظ / Conservative</w:t>
            </w:r>
          </w:p>
        </w:tc>
        <w:tc>
          <w:tcPr>
            <w:tcW w:type="dxa" w:w="1872"/>
            <w:tcMar>
              <w:top w:w="60" w:type="dxa"/>
              <w:bottom w:w="60" w:type="dxa"/>
              <w:start w:w="110" w:type="dxa"/>
              <w:end w:w="110" w:type="dxa"/>
            </w:tcMar>
          </w:tcPr>
          <w:p>
            <w:r>
              <w:rPr>
                <w:rFonts w:ascii="IBM Plex Sans" w:hAnsi="IBM Plex Sans" w:cs="IBM Plex Sans"/>
                <w:b w:val="0"/>
                <w:color w:val="222222"/>
                <w:sz w:val="19"/>
                <w:szCs w:val="19"/>
              </w:rPr>
              <w:t>$3,000</w:t>
            </w:r>
          </w:p>
        </w:tc>
        <w:tc>
          <w:tcPr>
            <w:tcW w:type="dxa" w:w="2433"/>
            <w:tcMar>
              <w:top w:w="60" w:type="dxa"/>
              <w:bottom w:w="60" w:type="dxa"/>
              <w:start w:w="110" w:type="dxa"/>
              <w:end w:w="110" w:type="dxa"/>
            </w:tcMar>
          </w:tcPr>
          <w:p>
            <w:r>
              <w:rPr>
                <w:rFonts w:ascii="IBM Plex Sans" w:hAnsi="IBM Plex Sans" w:cs="IBM Plex Sans"/>
                <w:b w:val="0"/>
                <w:color w:val="222222"/>
                <w:sz w:val="19"/>
                <w:szCs w:val="19"/>
              </w:rPr>
              <w:t>SYP 346,500</w:t>
            </w:r>
          </w:p>
        </w:tc>
        <w:tc>
          <w:tcPr>
            <w:tcW w:type="dxa" w:w="2620"/>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تجربة فقط (50 مركبة × $500 × 6) / Pilot only</w:t>
            </w:r>
          </w:p>
        </w:tc>
      </w:tr>
      <w:tr>
        <w:tc>
          <w:tcPr>
            <w:tcW w:type="dxa" w:w="2433"/>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أساسي / Base</w:t>
            </w:r>
          </w:p>
        </w:tc>
        <w:tc>
          <w:tcPr>
            <w:tcW w:type="dxa" w:w="1872"/>
            <w:tcMar>
              <w:top w:w="60" w:type="dxa"/>
              <w:bottom w:w="60" w:type="dxa"/>
              <w:start w:w="110" w:type="dxa"/>
              <w:end w:w="110" w:type="dxa"/>
            </w:tcMar>
            <w:shd w:val="clear" w:color="auto" w:fill="E7ECE8"/>
          </w:tcPr>
          <w:p>
            <w:r>
              <w:rPr>
                <w:rFonts w:ascii="IBM Plex Sans" w:hAnsi="IBM Plex Sans" w:cs="IBM Plex Sans"/>
                <w:b w:val="0"/>
                <w:color w:val="222222"/>
                <w:sz w:val="19"/>
                <w:szCs w:val="19"/>
              </w:rPr>
              <w:t>$42,450</w:t>
            </w:r>
          </w:p>
        </w:tc>
        <w:tc>
          <w:tcPr>
            <w:tcW w:type="dxa" w:w="2433"/>
            <w:tcMar>
              <w:top w:w="60" w:type="dxa"/>
              <w:bottom w:w="60" w:type="dxa"/>
              <w:start w:w="110" w:type="dxa"/>
              <w:end w:w="110" w:type="dxa"/>
            </w:tcMar>
            <w:shd w:val="clear" w:color="auto" w:fill="E7ECE8"/>
          </w:tcPr>
          <w:p>
            <w:r>
              <w:rPr>
                <w:rFonts w:ascii="IBM Plex Sans" w:hAnsi="IBM Plex Sans" w:cs="IBM Plex Sans"/>
                <w:b w:val="0"/>
                <w:color w:val="222222"/>
                <w:sz w:val="19"/>
                <w:szCs w:val="19"/>
              </w:rPr>
              <w:t>SYP 4.9M</w:t>
            </w:r>
          </w:p>
        </w:tc>
        <w:tc>
          <w:tcPr>
            <w:tcW w:type="dxa" w:w="2620"/>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تجربة + بدء المرحلة 2 / Pilot + Phase 2 start</w:t>
            </w:r>
          </w:p>
        </w:tc>
      </w:tr>
      <w:tr>
        <w:tc>
          <w:tcPr>
            <w:tcW w:type="dxa" w:w="2433"/>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متفائل / Optimistic</w:t>
            </w:r>
          </w:p>
        </w:tc>
        <w:tc>
          <w:tcPr>
            <w:tcW w:type="dxa" w:w="1872"/>
            <w:tcMar>
              <w:top w:w="60" w:type="dxa"/>
              <w:bottom w:w="60" w:type="dxa"/>
              <w:start w:w="110" w:type="dxa"/>
              <w:end w:w="110" w:type="dxa"/>
            </w:tcMar>
          </w:tcPr>
          <w:p>
            <w:r>
              <w:rPr>
                <w:rFonts w:ascii="IBM Plex Sans" w:hAnsi="IBM Plex Sans" w:cs="IBM Plex Sans"/>
                <w:b w:val="0"/>
                <w:color w:val="222222"/>
                <w:sz w:val="19"/>
                <w:szCs w:val="19"/>
              </w:rPr>
              <w:t>$200,000+</w:t>
            </w:r>
          </w:p>
        </w:tc>
        <w:tc>
          <w:tcPr>
            <w:tcW w:type="dxa" w:w="2433"/>
            <w:tcMar>
              <w:top w:w="60" w:type="dxa"/>
              <w:bottom w:w="60" w:type="dxa"/>
              <w:start w:w="110" w:type="dxa"/>
              <w:end w:w="110" w:type="dxa"/>
            </w:tcMar>
          </w:tcPr>
          <w:p>
            <w:r>
              <w:rPr>
                <w:rFonts w:ascii="IBM Plex Sans" w:hAnsi="IBM Plex Sans" w:cs="IBM Plex Sans"/>
                <w:b w:val="0"/>
                <w:color w:val="222222"/>
                <w:sz w:val="19"/>
                <w:szCs w:val="19"/>
              </w:rPr>
              <w:t>SYP 23.1M</w:t>
            </w:r>
          </w:p>
        </w:tc>
        <w:tc>
          <w:tcPr>
            <w:tcW w:type="dxa" w:w="2620"/>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 منح + تسارع المرحلة 2 / + grants + faster Phase 2</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الربح التشغيلي للسنة الأولى (أساسي) ≈ 27,140 دولار (≈ SYP 3.1M)، ويرتفع بقوّة في السنة الثانية مع المرحلة 2 واشتراكات المشغّلين.</w:t>
      </w:r>
    </w:p>
    <w:p>
      <w:pPr>
        <w:spacing w:after="180" w:before="0"/>
      </w:pPr>
      <w:r>
        <w:rPr>
          <w:rFonts w:ascii="IBM Plex Sans" w:hAnsi="IBM Plex Sans" w:cs="IBM Plex Sans"/>
          <w:b w:val="0"/>
          <w:color w:val="333333"/>
          <w:sz w:val="21"/>
          <w:szCs w:val="21"/>
        </w:rPr>
        <w:t>Year-1 operating profit (base) ≈ USD 27,140 (≈ SYP 3.1M), rising sharply in Year 2 with Phase 2 and operator SaaS.</w:t>
      </w:r>
    </w:p>
    <w:p>
      <w:pPr>
        <w:bidi/>
        <w:spacing w:before="240" w:after="0"/>
        <w:jc w:val="right"/>
      </w:pPr>
      <w:r>
        <w:rPr>
          <w:rFonts w:ascii="IBM Plex Sans Arabic" w:hAnsi="IBM Plex Sans Arabic" w:cs="IBM Plex Sans Arabic"/>
          <w:b/>
          <w:color w:val="1B4332"/>
          <w:sz w:val="34"/>
          <w:szCs w:val="34"/>
          <w:rtl/>
        </w:rPr>
        <w:t>خطّ تمويل المنح</w:t>
      </w:r>
    </w:p>
    <w:p>
      <w:pPr>
        <w:spacing w:before="0" w:after="100"/>
      </w:pPr>
      <w:r>
        <w:rPr>
          <w:rFonts w:ascii="IBM Plex Sans" w:hAnsi="IBM Plex Sans" w:cs="IBM Plex Sans"/>
          <w:b/>
          <w:color w:val="1B4332"/>
          <w:sz w:val="30"/>
          <w:szCs w:val="30"/>
        </w:rPr>
        <w:t>Grant Funding Pipeline</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61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المنحة</w:t>
            </w:r>
            <w:r>
              <w:br/>
            </w:r>
            <w:r>
              <w:rPr>
                <w:rFonts w:ascii="IBM Plex Sans" w:hAnsi="IBM Plex Sans" w:cs="IBM Plex Sans"/>
                <w:b/>
                <w:color w:val="F9F6EF"/>
                <w:sz w:val="19"/>
                <w:szCs w:val="19"/>
              </w:rPr>
              <w:t>Grant</w:t>
            </w:r>
          </w:p>
        </w:tc>
        <w:tc>
          <w:tcPr>
            <w:tcW w:type="dxa" w:w="3744"/>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المبلغ المتوقّع</w:t>
            </w:r>
            <w:r>
              <w:br/>
            </w:r>
            <w:r>
              <w:rPr>
                <w:rFonts w:ascii="IBM Plex Sans" w:hAnsi="IBM Plex Sans" w:cs="IBM Plex Sans"/>
                <w:b/>
                <w:color w:val="F9F6EF"/>
                <w:sz w:val="19"/>
                <w:szCs w:val="19"/>
              </w:rPr>
              <w:t>Expected amount</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البنك الدولي (نقل سورية) / World Bank (Syria transport)</w:t>
            </w:r>
          </w:p>
        </w:tc>
        <w:tc>
          <w:tcPr>
            <w:tcW w:type="dxa" w:w="3744"/>
            <w:tcMar>
              <w:top w:w="60" w:type="dxa"/>
              <w:bottom w:w="60" w:type="dxa"/>
              <w:start w:w="110" w:type="dxa"/>
              <w:end w:w="110" w:type="dxa"/>
            </w:tcMar>
          </w:tcPr>
          <w:p>
            <w:r>
              <w:rPr>
                <w:rFonts w:ascii="IBM Plex Sans" w:hAnsi="IBM Plex Sans" w:cs="IBM Plex Sans"/>
                <w:b w:val="0"/>
                <w:color w:val="222222"/>
                <w:sz w:val="19"/>
                <w:szCs w:val="19"/>
              </w:rPr>
              <w:t>~$149,000</w:t>
            </w:r>
          </w:p>
        </w:tc>
      </w:tr>
      <w:tr>
        <w:tc>
          <w:tcPr>
            <w:tcW w:type="dxa" w:w="561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UNDP (التنقّل الحضري) / UNDP (urban mobility)</w:t>
            </w:r>
          </w:p>
        </w:tc>
        <w:tc>
          <w:tcPr>
            <w:tcW w:type="dxa" w:w="3744"/>
            <w:tcMar>
              <w:top w:w="60" w:type="dxa"/>
              <w:bottom w:w="60" w:type="dxa"/>
              <w:start w:w="110" w:type="dxa"/>
              <w:end w:w="110" w:type="dxa"/>
            </w:tcMar>
            <w:shd w:val="clear" w:color="auto" w:fill="E7ECE8"/>
          </w:tcPr>
          <w:p>
            <w:r>
              <w:rPr>
                <w:rFonts w:ascii="IBM Plex Sans" w:hAnsi="IBM Plex Sans" w:cs="IBM Plex Sans"/>
                <w:b w:val="0"/>
                <w:color w:val="222222"/>
                <w:sz w:val="19"/>
                <w:szCs w:val="19"/>
              </w:rPr>
              <w:t>$50,000 – $200,000</w:t>
            </w:r>
          </w:p>
        </w:tc>
      </w:tr>
      <w:tr>
        <w:tc>
          <w:tcPr>
            <w:tcW w:type="dxa" w:w="561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إعادة الإعمار الأوروبية / EU reconstruction</w:t>
            </w:r>
          </w:p>
        </w:tc>
        <w:tc>
          <w:tcPr>
            <w:tcW w:type="dxa" w:w="3744"/>
            <w:tcMar>
              <w:top w:w="60" w:type="dxa"/>
              <w:bottom w:w="60" w:type="dxa"/>
              <w:start w:w="110" w:type="dxa"/>
              <w:end w:w="110" w:type="dxa"/>
            </w:tcMar>
          </w:tcPr>
          <w:p>
            <w:r>
              <w:rPr>
                <w:rFonts w:ascii="IBM Plex Sans" w:hAnsi="IBM Plex Sans" w:cs="IBM Plex Sans"/>
                <w:b w:val="0"/>
                <w:color w:val="222222"/>
                <w:sz w:val="19"/>
                <w:szCs w:val="19"/>
              </w:rPr>
              <w:t>$50,000 – $130,000</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تُعامَل المنح كتمويل احتياطي يموّل شراء العتاد وتوسيع الفريق — لا كإيراد تشغيلي متكرّر.</w:t>
      </w:r>
    </w:p>
    <w:p>
      <w:pPr>
        <w:spacing w:after="180" w:before="0"/>
      </w:pPr>
      <w:r>
        <w:rPr>
          <w:rFonts w:ascii="IBM Plex Sans" w:hAnsi="IBM Plex Sans" w:cs="IBM Plex Sans"/>
          <w:b w:val="0"/>
          <w:color w:val="333333"/>
          <w:sz w:val="21"/>
          <w:szCs w:val="21"/>
        </w:rPr>
        <w:t>Grants are treated as contingency funding for hardware procurement and team expansion — not as recurring operating revenue.</w:t>
      </w:r>
    </w:p>
    <w:p>
      <w:pPr>
        <w:bidi/>
        <w:spacing w:before="240" w:after="0"/>
        <w:jc w:val="right"/>
      </w:pPr>
      <w:r>
        <w:rPr>
          <w:rFonts w:ascii="IBM Plex Sans Arabic" w:hAnsi="IBM Plex Sans Arabic" w:cs="IBM Plex Sans Arabic"/>
          <w:b/>
          <w:color w:val="1B4332"/>
          <w:sz w:val="34"/>
          <w:szCs w:val="34"/>
          <w:rtl/>
        </w:rPr>
        <w:t>ملاحظة العملة</w:t>
      </w:r>
    </w:p>
    <w:p>
      <w:pPr>
        <w:spacing w:before="0" w:after="100"/>
      </w:pPr>
      <w:r>
        <w:rPr>
          <w:rFonts w:ascii="IBM Plex Sans" w:hAnsi="IBM Plex Sans" w:cs="IBM Plex Sans"/>
          <w:b/>
          <w:color w:val="1B4332"/>
          <w:sz w:val="30"/>
          <w:szCs w:val="30"/>
        </w:rPr>
        <w:t>Currency Note</w:t>
      </w:r>
    </w:p>
    <w:p>
      <w:pPr>
        <w:bidi/>
        <w:spacing w:after="20" w:before="0"/>
        <w:jc w:val="right"/>
      </w:pPr>
      <w:r>
        <w:rPr>
          <w:rFonts w:ascii="IBM Plex Sans Arabic" w:hAnsi="IBM Plex Sans Arabic" w:cs="IBM Plex Sans Arabic"/>
          <w:b w:val="0"/>
          <w:color w:val="0D1B2A"/>
          <w:sz w:val="22"/>
          <w:szCs w:val="22"/>
          <w:rtl/>
        </w:rPr>
        <w:t>العملة التعاقدية هي الدولار الأمريكي. مبالغ الليرة استرشادية بسعر ~115.5 ليرة جديدة للدولار (بعد حذف صفرين في كانون الثاني/يناير 2026؛ حزيران/يونيو 2026)، وهي عرضة للتقلّب. توصي خطّة المخاطر بالتعاقد بالدولار أو بليرة مربوطة بحدّ أدنى دولاري.</w:t>
      </w:r>
    </w:p>
    <w:p>
      <w:pPr>
        <w:spacing w:after="180" w:before="0"/>
      </w:pPr>
      <w:r>
        <w:rPr>
          <w:rFonts w:ascii="IBM Plex Sans" w:hAnsi="IBM Plex Sans" w:cs="IBM Plex Sans"/>
          <w:b w:val="0"/>
          <w:color w:val="333333"/>
          <w:sz w:val="21"/>
          <w:szCs w:val="21"/>
        </w:rPr>
        <w:t>The contract currency is USD. SYP amounts are indicative at ~115.5 new SYP/USD (after the January 2026 two-zero redenomination; June 2026) and are subject to volatility. The risk plan recommends contracting in USD or USD-floored SYP.</w:t>
      </w:r>
    </w:p>
    <w:p>
      <w:pPr>
        <w:bidi/>
        <w:spacing w:before="240" w:after="0"/>
        <w:jc w:val="right"/>
      </w:pPr>
      <w:r>
        <w:rPr>
          <w:rFonts w:ascii="IBM Plex Sans Arabic" w:hAnsi="IBM Plex Sans Arabic" w:cs="IBM Plex Sans Arabic"/>
          <w:b/>
          <w:color w:val="1B4332"/>
          <w:sz w:val="34"/>
          <w:szCs w:val="34"/>
          <w:rtl/>
        </w:rPr>
        <w:t>إشارات للإدارة</w:t>
      </w:r>
    </w:p>
    <w:p>
      <w:pPr>
        <w:spacing w:before="0" w:after="100"/>
      </w:pPr>
      <w:r>
        <w:rPr>
          <w:rFonts w:ascii="IBM Plex Sans" w:hAnsi="IBM Plex Sans" w:cs="IBM Plex Sans"/>
          <w:b/>
          <w:color w:val="1B4332"/>
          <w:sz w:val="30"/>
          <w:szCs w:val="30"/>
        </w:rPr>
        <w:t>Flags for Management</w:t>
      </w:r>
    </w:p>
    <w:p>
      <w:pPr>
        <w:bidi/>
        <w:spacing w:after="20" w:before="0"/>
        <w:jc w:val="right"/>
      </w:pPr>
      <w:r>
        <w:rPr>
          <w:rFonts w:ascii="IBM Plex Sans Arabic" w:hAnsi="IBM Plex Sans Arabic" w:cs="IBM Plex Sans Arabic"/>
          <w:b w:val="0"/>
          <w:color w:val="0D1B2A"/>
          <w:sz w:val="22"/>
          <w:szCs w:val="22"/>
          <w:rtl/>
        </w:rPr>
        <w:t>أولاً: توقيع عقد الوزارة هو المسار الحرج. ثانياً: تمويل العتاد (~9,500 دولار لـ50 وحدة) يجب تأمينه قبل التشغيل، ويفضّل عبر بند سلفة في المذكّرة أو منحة البنك الدولي. ثالثاً: تقلّب الليرة خطر هيكلي يُدار بالتعاقد بالدولار وبتطابق الإيرادات والتكاليف بالعملة نفسها.</w:t>
      </w:r>
    </w:p>
    <w:p>
      <w:pPr>
        <w:spacing w:after="180" w:before="0"/>
      </w:pPr>
      <w:r>
        <w:rPr>
          <w:rFonts w:ascii="IBM Plex Sans" w:hAnsi="IBM Plex Sans" w:cs="IBM Plex Sans"/>
          <w:b w:val="0"/>
          <w:color w:val="333333"/>
          <w:sz w:val="21"/>
          <w:szCs w:val="21"/>
        </w:rPr>
        <w:t>First, signing the Ministry contract is the critical path. Second, hardware funding (~USD 9,500 for 50 units) must be secured before go-live, ideally via an advance clause in the MoU or the World Bank grant. Third, SYP volatility is a structural risk managed by USD contracting and currency-matching revenue with costs.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Sans" w:hAnsi="IBM Plex Sans" w:cs="IBM Plex Sans"/>
        <w:b w:val="0"/>
        <w:color w:val="7A7060"/>
        <w:sz w:val="16"/>
        <w:szCs w:val="16"/>
      </w:rPr>
      <w:t>© 2026 Damascus Transit Technologies Ltd.  ·  damascustransit.com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s="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