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02">
      <w:pPr>
        <w:shd w:fill="c0392b" w:val="clear"/>
        <w:spacing w:after="80" w:before="80" w:lineRule="auto"/>
        <w:jc w:val="center"/>
        <w:rPr/>
      </w:pPr>
      <w:r w:rsidDel="00000000" w:rsidR="00000000" w:rsidRPr="00000000">
        <w:rPr>
          <w:rFonts w:ascii="Arial" w:cs="Arial" w:eastAsia="Arial" w:hAnsi="Arial"/>
          <w:b w:val="1"/>
          <w:bCs w:val="1"/>
          <w:color w:val="ffffff"/>
          <w:sz w:val="20"/>
          <w:szCs w:val="20"/>
          <w:rtl w:val="0"/>
        </w:rPr>
        <w:t xml:space="preserve">VERTRAULICH</w:t>
      </w:r>
      <w:r w:rsidDel="00000000" w:rsidR="00000000" w:rsidRPr="00000000">
        <w:rPr>
          <w:rtl w:val="0"/>
        </w:rPr>
      </w:r>
    </w:p>
    <w:p w:rsidR="00000000" w:rsidDel="00000000" w:rsidP="00000000" w:rsidRDefault="00000000" w:rsidRPr="00000000" w14:paraId="00000003">
      <w:pPr>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4">
      <w:pPr>
        <w:spacing w:after="80" w:before="120" w:lineRule="auto"/>
        <w:jc w:val="center"/>
        <w:rPr/>
      </w:pPr>
      <w:r w:rsidDel="00000000" w:rsidR="00000000" w:rsidRPr="00000000">
        <w:rPr>
          <w:rFonts w:ascii="Arial" w:cs="Arial" w:eastAsia="Arial" w:hAnsi="Arial"/>
          <w:b w:val="1"/>
          <w:bCs w:val="1"/>
          <w:color w:val="1a3a5c"/>
          <w:sz w:val="28"/>
          <w:szCs w:val="28"/>
          <w:rtl w:val="0"/>
        </w:rPr>
        <w:t xml:space="preserve">Preisvorstellung und Bewertungsrahmen</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color w:val="2e6da4"/>
          <w:sz w:val="22"/>
          <w:szCs w:val="22"/>
          <w:rtl w:val="0"/>
        </w:rPr>
        <w:t xml:space="preserve">Beteiligung oder Übernahme</w:t>
      </w: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Arial" w:cs="Arial" w:eastAsia="Arial" w:hAnsi="Arial"/>
          <w:b w:val="1"/>
          <w:bCs w:val="1"/>
          <w:color w:val="1a3a5c"/>
          <w:sz w:val="36"/>
          <w:szCs w:val="36"/>
          <w:rtl w:val="0"/>
        </w:rPr>
        <w:t xml:space="preserve">ArcelorMittal Eisenhüttenstadt GmbH</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color w:val="555555"/>
          <w:sz w:val="20"/>
          <w:szCs w:val="20"/>
          <w:rtl w:val="0"/>
        </w:rPr>
        <w:t xml:space="preserve">Erstellt für die Staatsregierung des Bundeslandes Ostdeutschland</w:t>
      </w:r>
      <w:r w:rsidDel="00000000" w:rsidR="00000000" w:rsidRPr="00000000">
        <w:rPr>
          <w:rtl w:val="0"/>
        </w:rPr>
      </w:r>
    </w:p>
    <w:p w:rsidR="00000000" w:rsidDel="00000000" w:rsidP="00000000" w:rsidRDefault="00000000" w:rsidRPr="00000000" w14:paraId="00000008">
      <w:pPr>
        <w:spacing w:after="480" w:before="40" w:lineRule="auto"/>
        <w:jc w:val="center"/>
        <w:rPr/>
      </w:pPr>
      <w:r w:rsidDel="00000000" w:rsidR="00000000" w:rsidRPr="00000000">
        <w:rPr>
          <w:rFonts w:ascii="Arial" w:cs="Arial" w:eastAsia="Arial" w:hAnsi="Arial"/>
          <w:i w:val="1"/>
          <w:iCs w:val="1"/>
          <w:color w:val="888888"/>
          <w:sz w:val="18"/>
          <w:szCs w:val="18"/>
          <w:rtl w:val="0"/>
        </w:rPr>
        <w:t xml:space="preserve">Stand: März 2026 | Streng vertraulich – nur für autorisierte Empfänger</w:t>
      </w:r>
      <w:r w:rsidDel="00000000" w:rsidR="00000000" w:rsidRPr="00000000">
        <w:rPr>
          <w:rtl w:val="0"/>
        </w:rPr>
      </w:r>
    </w:p>
    <w:p w:rsidR="00000000" w:rsidDel="00000000" w:rsidP="00000000" w:rsidRDefault="00000000" w:rsidRPr="00000000" w14:paraId="00000009">
      <w:pPr>
        <w:spacing w:after="60" w:before="80" w:lineRule="auto"/>
        <w:rPr/>
      </w:pPr>
      <w:r w:rsidDel="00000000" w:rsidR="00000000" w:rsidRPr="00000000">
        <w:rPr>
          <w:rFonts w:ascii="Arial" w:cs="Arial" w:eastAsia="Arial" w:hAnsi="Arial"/>
          <w:b w:val="1"/>
          <w:bCs w:val="1"/>
          <w:color w:val="c0392b"/>
          <w:sz w:val="20"/>
          <w:szCs w:val="20"/>
          <w:rtl w:val="0"/>
        </w:rPr>
        <w:t xml:space="preserve">Wichtiger Hinweis</w:t>
      </w:r>
      <w:r w:rsidDel="00000000" w:rsidR="00000000" w:rsidRPr="00000000">
        <w:rPr>
          <w:rtl w:val="0"/>
        </w:rPr>
      </w:r>
    </w:p>
    <w:p w:rsidR="00000000" w:rsidDel="00000000" w:rsidP="00000000" w:rsidRDefault="00000000" w:rsidRPr="00000000" w14:paraId="0000000A">
      <w:pPr>
        <w:pBdr>
          <w:top w:color="c0392b" w:space="4" w:sz="4" w:val="single"/>
          <w:left w:color="c0392b" w:space="8" w:sz="12" w:val="single"/>
          <w:bottom w:color="c0392b" w:space="4" w:sz="4" w:val="single"/>
          <w:right w:color="c0392b" w:space="4" w:sz="4" w:val="single"/>
        </w:pBdr>
        <w:spacing w:after="360" w:before="0" w:lineRule="auto"/>
        <w:jc w:val="both"/>
        <w:rPr/>
      </w:pPr>
      <w:r w:rsidDel="00000000" w:rsidR="00000000" w:rsidRPr="00000000">
        <w:rPr>
          <w:rFonts w:ascii="Arial" w:cs="Arial" w:eastAsia="Arial" w:hAnsi="Arial"/>
          <w:i w:val="1"/>
          <w:iCs w:val="1"/>
          <w:color w:val="444444"/>
          <w:sz w:val="20"/>
          <w:szCs w:val="20"/>
          <w:rtl w:val="0"/>
        </w:rPr>
        <w:t xml:space="preserve">Diese Preisvorstellung basiert auf öffentlich verfügbaren Informationen sowie branchenüblichen Bewertungsansätzen für integrierte Hüttenwerke in vergleichbarer Lage. Sie stellt keine verbindliche Kaufofferte dar und ersetzt nicht eine Due-Diligence-Prüfung auf Basis nichtöffentlicher Unternehmensdaten (Jahresabschlüsse 2023/2024, Anlagevermögen, Rückstellungen, Altlastenrisiken). Eine endgültige Transaktion setzt die Offenlegung aller relevanten Unterlagen durch ArcelorMittal sowie die Einbindung von Finanz-, Rechts- und Technologieberatern voraus.</w:t>
      </w:r>
      <w:r w:rsidDel="00000000" w:rsidR="00000000" w:rsidRPr="00000000">
        <w:rPr>
          <w:rtl w:val="0"/>
        </w:rPr>
      </w:r>
    </w:p>
    <w:p w:rsidR="00000000" w:rsidDel="00000000" w:rsidP="00000000" w:rsidRDefault="00000000" w:rsidRPr="00000000" w14:paraId="0000000B">
      <w:pPr>
        <w:pStyle w:val="Heading1"/>
        <w:pBdr>
          <w:bottom w:color="1a3a5c" w:space="4" w:sz="6" w:val="single"/>
        </w:pBdr>
        <w:spacing w:after="180" w:before="360" w:lineRule="auto"/>
        <w:rPr/>
      </w:pPr>
      <w:r w:rsidDel="00000000" w:rsidR="00000000" w:rsidRPr="00000000">
        <w:rPr>
          <w:rFonts w:ascii="Arial" w:cs="Arial" w:eastAsia="Arial" w:hAnsi="Arial"/>
          <w:b w:val="1"/>
          <w:bCs w:val="1"/>
          <w:color w:val="1a3a5c"/>
          <w:sz w:val="32"/>
          <w:szCs w:val="32"/>
          <w:rtl w:val="0"/>
        </w:rPr>
        <w:t xml:space="preserve">1. Unternehmensprofil</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sz w:val="22"/>
          <w:szCs w:val="22"/>
          <w:rtl w:val="0"/>
        </w:rPr>
        <w:t xml:space="preserve">Die ArcelorMittal Eisenhüttenstadt GmbH ist ein vollständig integriertes Hüttenwerk in Eisenhüttenstadt, Brandenburg. Das Werk gehört zu den letzten Standorten mit vollständiger Produktionskette – von der Roheisenerzeugung über Rohstahlerzeugung, Warm- und Kaltwalzwerk bis zur Oberflächenveredelung – in Ostdeutschland. Es bildet das wirtschaftliche Rückgrat der Region.</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sz w:val="10"/>
          <w:szCs w:val="10"/>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Merkmal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Kenndaten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Eigentümer (aktuell)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ArcelorMittal Europe S.A. (Luxemburg)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Standort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Werkstr. 1, 15890 Eisenhüttenstadt, Brandenburg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Gründung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1951 (als Eisenhüttenkombinat Ost der DDR)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Belegschaft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ca. 2.700 Mitarbeiterinnen und Mitarbeiter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Produktschwerpunkt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Flachstahl für Automobil- und Bauindustrie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Produktionskette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Vollintegriert: Hochofen bis Oberflächenveredelung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Zuletzt bekannter Umsatz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ca. 1,19 Mrd. EUR (Referenzjahr 2016)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Kapitalausstattung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ca. 178 Mio. EUR Stammkapital (EKO Stahl-Basis)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Status Dekarbonisierung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Grüne Investitionspläne gestoppt (Juni 2025)</w:t>
            </w:r>
            <w:r w:rsidDel="00000000" w:rsidR="00000000" w:rsidRPr="00000000">
              <w:rPr>
                <w:rtl w:val="0"/>
              </w:rPr>
            </w:r>
          </w:p>
        </w:tc>
      </w:tr>
    </w:tbl>
    <w:p w:rsidR="00000000" w:rsidDel="00000000" w:rsidP="00000000" w:rsidRDefault="00000000" w:rsidRPr="00000000" w14:paraId="00000022">
      <w:pPr>
        <w:spacing w:after="0" w:before="120" w:lineRule="auto"/>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23">
      <w:pPr>
        <w:pStyle w:val="Heading1"/>
        <w:pBdr>
          <w:bottom w:color="1a3a5c" w:space="4" w:sz="6" w:val="single"/>
        </w:pBdr>
        <w:spacing w:after="180" w:before="360" w:lineRule="auto"/>
        <w:rPr/>
      </w:pPr>
      <w:r w:rsidDel="00000000" w:rsidR="00000000" w:rsidRPr="00000000">
        <w:rPr>
          <w:rFonts w:ascii="Arial" w:cs="Arial" w:eastAsia="Arial" w:hAnsi="Arial"/>
          <w:b w:val="1"/>
          <w:bCs w:val="1"/>
          <w:color w:val="1a3a5c"/>
          <w:sz w:val="32"/>
          <w:szCs w:val="32"/>
          <w:rtl w:val="0"/>
        </w:rPr>
        <w:t xml:space="preserve">2. Strategische Ausgangslage</w:t>
      </w: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2.1 Aktuelle Krisensituation</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sz w:val="22"/>
          <w:szCs w:val="22"/>
          <w:rtl w:val="0"/>
        </w:rPr>
        <w:t xml:space="preserve">Die Lage des Stahlstandortes Eisenhüttenstadt ist im März 2026 von erheblicher strategischer Unsicherheit geprägt. ArcelorMittal hat im Juni 2025 seine ursprünglich geplanten Dekarbonisierungsinvestitionen (Direktreduktionsanlage und Elektrolichtbogenofen im Rahmen des IPCEI-Verbundprojekts DRIBE2) für die Flachstahlwerke Bremen und Eisenhüttenstadt endgültig zurückgezogen. Als Begründung wurden mangelnde Wirtschaftlichkeit aufgrund hoher Strompreise und fehlender Wasserstoffverfügbarkeit genannt.</w:t>
      </w:r>
      <w:r w:rsidDel="00000000" w:rsidR="00000000" w:rsidRPr="00000000">
        <w:rPr>
          <w:rtl w:val="0"/>
        </w:rPr>
      </w:r>
    </w:p>
    <w:p w:rsidR="00000000" w:rsidDel="00000000" w:rsidP="00000000" w:rsidRDefault="00000000" w:rsidRPr="00000000" w14:paraId="00000026">
      <w:pPr>
        <w:spacing w:after="80" w:before="80" w:lineRule="auto"/>
        <w:jc w:val="both"/>
        <w:rPr/>
      </w:pPr>
      <w:r w:rsidDel="00000000" w:rsidR="00000000" w:rsidRPr="00000000">
        <w:rPr>
          <w:rFonts w:ascii="Arial" w:cs="Arial" w:eastAsia="Arial" w:hAnsi="Arial"/>
          <w:sz w:val="22"/>
          <w:szCs w:val="22"/>
          <w:rtl w:val="0"/>
        </w:rPr>
        <w:t xml:space="preserve">Damit hat ArcelorMittal auch Bundesfördermittel in Höhe von 1,3 Milliarden Euro (vertraglich gebunden bis Juni 2025 für Baubeginn) nicht abgerufen. Stattdessen konzentriert der Konzern seine Transformationsinvestitionen auf andere europäische Standorte, insbesondere in Frankreich (Dünkirchen).</w:t>
      </w: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2.2 Chancen für einen staatlichen Einstieg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Erhalt eines der letzten vollintegrierten Hüttenwerke in Ostdeutschland mit industriellem Alleinstellungsmerkmal</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Sicherung von ca. 2.700 Direktarbeitsplätzen sowie eines Vielfachen an abhängigen Arbeitsplätzen in der Region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Strategische Infrastruktur für die Stahlversorgung ostdeutscher Industriekunden (Automobil, Bau, Maschinenbau)</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Möglichkeit zur schrittweisen Dekarbonisierung unter staatlicher Kontrolle und mit gezieltem Einsatz öffentlicher Fördermittel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Nukleus für industriepolitische Erneuerung im neuen Bundesland Ostdeutschland – mit einheitlicher wirtschaftspolitischer Steuerung statt Koordinationsaufwand zwischen sechs Ländern</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2.3 Risiken und Herausforderungen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Strukturelle Krise der europäischen Stahlindustrie: globaler Preisdruck durch Importe aus China und anderen Ländern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Hohe Energiekosten in Deutschland; staatlicher Industriestrompreis erst ab Januar 2026 geplant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Notwendigkeit erheblicher Zukunftsinvestitionen für Dekarbonisierung (Elektrolichtbogenofen, Infrastruktur)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Unbekannte Altlastenrisiken (Grundstück, Rückstellungen, Umweltverpflichtungen) – nur durch Due Diligence quantifizierbar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Politische und EU-beihilferechtliche Komplexität einer staatlichen Beteiligung</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34">
      <w:pPr>
        <w:pStyle w:val="Heading1"/>
        <w:pBdr>
          <w:bottom w:color="1a3a5c" w:space="4" w:sz="6" w:val="single"/>
        </w:pBdr>
        <w:spacing w:after="180" w:before="360" w:lineRule="auto"/>
        <w:rPr/>
      </w:pPr>
      <w:r w:rsidDel="00000000" w:rsidR="00000000" w:rsidRPr="00000000">
        <w:rPr>
          <w:rFonts w:ascii="Arial" w:cs="Arial" w:eastAsia="Arial" w:hAnsi="Arial"/>
          <w:b w:val="1"/>
          <w:bCs w:val="1"/>
          <w:color w:val="1a3a5c"/>
          <w:sz w:val="32"/>
          <w:szCs w:val="32"/>
          <w:rtl w:val="0"/>
        </w:rPr>
        <w:t xml:space="preserve">3. Bewertungsansatz und Preisvorstellung</w:t>
      </w:r>
      <w:r w:rsidDel="00000000" w:rsidR="00000000" w:rsidRPr="00000000">
        <w:rPr>
          <w:rtl w:val="0"/>
        </w:rPr>
      </w:r>
    </w:p>
    <w:p w:rsidR="00000000" w:rsidDel="00000000" w:rsidP="00000000" w:rsidRDefault="00000000" w:rsidRPr="00000000" w14:paraId="00000035">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3.1 Methodischer Rahmen</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sz w:val="22"/>
          <w:szCs w:val="22"/>
          <w:rtl w:val="0"/>
        </w:rPr>
        <w:t xml:space="preserve">Die Bewertung eines Industrieunternehmens wie des Eisenhüttenstädter Stahlwerks folgt üblicherweise drei Bewertungsansätzen, die zu einer indikativen Bandbreite zusammengeführt werden: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EBITDA-Multiplikator-Verfahren (Ertragswert): Branchenübliche Multiplikatoren für integrierte Stahlwerke in strukturschwachen Regionen liegen aktuell bei 3x–5x EBITDA. In Krisenlagen und bei fehlenden Investitionsperspektiven können diese auf 2x–3x fallen.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Substanzwert / Anlagevermögen (Asset-Based Valuation): Bewertung des Anlagevermögens (Hochöfen, Walzwerke, Liegenschaften) zu Wiederbeschaffungswerten abzüglich kumulierter Abschreibungen und Altlastenrückstellungen.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Vergleichstransaktionen (Comparable Transactions): Referenz zu vergleichbaren Stahlwerkstransaktionen in Europa (u.a. ThyssenKrupp Steel, Ilva/Acciaierie d'Italia, British Steel).</w:t>
      </w: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3.2 Indikative Wertbandbreite</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Auf Basis öffentlich verfügbarer Daten, der aktuellen Marktlage und branchenüblicher Bewertungsparameter ergibt sich folgende indikative Preisvorstellung:</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sz w:val="10"/>
          <w:szCs w:val="10"/>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Szenario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Bewertungsbandbreite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Wesentliche Annahme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856404"/>
                <w:sz w:val="20"/>
                <w:szCs w:val="20"/>
                <w:rtl w:val="0"/>
              </w:rPr>
              <w:t xml:space="preserve">Pessimistisch (Distressed 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100 – 250 Mio. 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Notveräußerung, hohe Altlasten, Produktionsstopp droht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55724"/>
                <w:sz w:val="20"/>
                <w:szCs w:val="20"/>
                <w:rtl w:val="0"/>
              </w:rPr>
              <w:t xml:space="preserve">Basis (verhandelter Einstieg)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300 – 600 Mio. 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Laufende Produktion, normalisierte Ertragslage, moderate Altlasten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c5460"/>
                <w:sz w:val="20"/>
                <w:szCs w:val="20"/>
                <w:rtl w:val="0"/>
              </w:rPr>
              <w:t xml:space="preserve">Optimistisch (strategischer Wert)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600 – 900 Mio. 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ecf1"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Volles Anlagevermögen, Grüne-Stahl-Potenzial, keine wesentlichen Altlasten</w:t>
            </w:r>
            <w:r w:rsidDel="00000000" w:rsidR="00000000" w:rsidRPr="00000000">
              <w:rPr>
                <w:rtl w:val="0"/>
              </w:rPr>
            </w:r>
          </w:p>
        </w:tc>
      </w:tr>
    </w:tbl>
    <w:p w:rsidR="00000000" w:rsidDel="00000000" w:rsidP="00000000" w:rsidRDefault="00000000" w:rsidRPr="00000000" w14:paraId="00000049">
      <w:pPr>
        <w:spacing w:after="0" w:before="120" w:lineRule="auto"/>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b w:val="0"/>
          <w:bCs w:val="0"/>
          <w:color w:val="1a3a5c"/>
          <w:sz w:val="22"/>
          <w:szCs w:val="22"/>
          <w:rtl w:val="0"/>
        </w:rPr>
        <w:t xml:space="preserve">Empfohlene Einstiegspreisvorstellung für Verhandlungsbeginn: 350 – 500 Mio. EUR (Basisfall, Verhandlungsposition). Dieser Betrag berücksichtigt den erheblichen Reparaturbedarf der Branche, die gestoppten Investitionspläne, aber auch den strategischen Wert des vollintegrierten Werks und die regionale Unverzichtbarkeit.</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3.3 Zusätzlicher Investitionsbedarf (nicht im Kaufpreis enthalten)</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sz w:val="22"/>
          <w:szCs w:val="22"/>
          <w:rtl w:val="0"/>
        </w:rPr>
        <w:t xml:space="preserve">Der Kaufpreis bildet nur den Erwerb ab. Für die langfristige Wettbewerbsfähigkeit sind darüber hinaus erhebliche Investitionen einzuplanen:</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sz w:val="10"/>
          <w:szCs w:val="10"/>
          <w:rtl w:val="0"/>
        </w:rPr>
        <w:t xml:space="preserv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Investitionsposten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Indikative Größenordnung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0"/>
                <w:szCs w:val="20"/>
                <w:rtl w:val="0"/>
              </w:rPr>
              <w:t xml:space="preserve">Elektrolichtbogenofen (Ersatz Hochofen, langfristig)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600 – 900 Mio.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Instandhaltungs- und Modernisierungsinvestitionen (5 Jahre)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150 – 300 Mio.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0"/>
                <w:szCs w:val="20"/>
                <w:rtl w:val="0"/>
              </w:rPr>
              <w:t xml:space="preserve">Infrastruktur / Wasserstoff-Anschluss (langfristig)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100 – 200 Mio.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Rückstellungen Altlasten / Umwelt (Schätzung)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50 – 150 Mio.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Betriebsmittel und Anlauffinanzierung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50 – 100 Mio.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GESAMT (Investitionsbedarf 10 Jahre)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950 – 1.650 Mio. EUR</w:t>
            </w:r>
            <w:r w:rsidDel="00000000" w:rsidR="00000000" w:rsidRPr="00000000">
              <w:rPr>
                <w:rtl w:val="0"/>
              </w:rPr>
            </w:r>
          </w:p>
        </w:tc>
      </w:tr>
    </w:tbl>
    <w:p w:rsidR="00000000" w:rsidDel="00000000" w:rsidP="00000000" w:rsidRDefault="00000000" w:rsidRPr="00000000" w14:paraId="0000005C">
      <w:pPr>
        <w:spacing w:after="0" w:before="120" w:lineRule="auto"/>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5D">
      <w:pPr>
        <w:pStyle w:val="Heading1"/>
        <w:pBdr>
          <w:bottom w:color="1a3a5c" w:space="4" w:sz="6" w:val="single"/>
        </w:pBdr>
        <w:spacing w:after="180" w:before="360" w:lineRule="auto"/>
        <w:rPr/>
      </w:pPr>
      <w:r w:rsidDel="00000000" w:rsidR="00000000" w:rsidRPr="00000000">
        <w:rPr>
          <w:rFonts w:ascii="Arial" w:cs="Arial" w:eastAsia="Arial" w:hAnsi="Arial"/>
          <w:b w:val="1"/>
          <w:bCs w:val="1"/>
          <w:color w:val="1a3a5c"/>
          <w:sz w:val="32"/>
          <w:szCs w:val="32"/>
          <w:rtl w:val="0"/>
        </w:rPr>
        <w:t xml:space="preserve">4. Mögliche Transaktionsstrukturen</w:t>
      </w: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4.1 Minderheitsbeteiligung (Einstieg)</w:t>
      </w: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Fonts w:ascii="Arial" w:cs="Arial" w:eastAsia="Arial" w:hAnsi="Arial"/>
          <w:sz w:val="22"/>
          <w:szCs w:val="22"/>
          <w:rtl w:val="0"/>
        </w:rPr>
        <w:t xml:space="preserve">Erwerb eines Minderheitsanteils (z.B. 25–49 %) zu einem anteiligen Preis von ca. 90 – 250 Mio. EUR. Ermöglicht Mitsprache ohne volle Übernahme der Betriebsrisiken. Vorzugsweise verbunden mit einer Investitionszusage für Dekarbonisierung.</w:t>
      </w: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4.2 Mehrheitsbeteiligung (Kontrolle)</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sz w:val="22"/>
          <w:szCs w:val="22"/>
          <w:rtl w:val="0"/>
        </w:rPr>
        <w:t xml:space="preserve">Erwerb von 51–75 % der Anteile zu einem indikativen Kaufpreis von ca. 180 – 450 Mio. EUR. Ermöglicht strategische Steuerung, Wahrung staatlicher Interessen und Absicherung der Beschäftigung. ArcelorMittal verbleibt als Minderheitsgesellschafter mit operativem Know-how.</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4.3 Vollständige Übernahme</w:t>
      </w:r>
      <w:r w:rsidDel="00000000" w:rsidR="00000000" w:rsidRPr="00000000">
        <w:rPr>
          <w:rtl w:val="0"/>
        </w:rPr>
      </w:r>
    </w:p>
    <w:p w:rsidR="00000000" w:rsidDel="00000000" w:rsidP="00000000" w:rsidRDefault="00000000" w:rsidRPr="00000000" w14:paraId="00000063">
      <w:pPr>
        <w:spacing w:after="80" w:before="80" w:lineRule="auto"/>
        <w:jc w:val="both"/>
        <w:rPr/>
      </w:pPr>
      <w:r w:rsidDel="00000000" w:rsidR="00000000" w:rsidRPr="00000000">
        <w:rPr>
          <w:rFonts w:ascii="Arial" w:cs="Arial" w:eastAsia="Arial" w:hAnsi="Arial"/>
          <w:sz w:val="22"/>
          <w:szCs w:val="22"/>
          <w:rtl w:val="0"/>
        </w:rPr>
        <w:t xml:space="preserve">Erwerb von 100 % der Anteile zu einem indikativen Kaufpreis von ca. 350 – 500 Mio. EUR (Basisfall). Bietet maximale Kontrolle, trägt aber auch das volle unternehmerische Risiko. Geeignet, wenn ArcelorMittal ein vollständiges Rückzugsinteresse signalisiert.</w:t>
      </w: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4.4 Direktbeteiligung des Bundeslandes Ostdeutschland</w:t>
      </w:r>
      <w:r w:rsidDel="00000000" w:rsidR="00000000" w:rsidRPr="00000000">
        <w:rPr>
          <w:rtl w:val="0"/>
        </w:rPr>
      </w:r>
    </w:p>
    <w:p w:rsidR="00000000" w:rsidDel="00000000" w:rsidP="00000000" w:rsidRDefault="00000000" w:rsidRPr="00000000" w14:paraId="00000065">
      <w:pPr>
        <w:spacing w:after="80" w:before="80" w:lineRule="auto"/>
        <w:jc w:val="both"/>
        <w:rPr/>
      </w:pPr>
      <w:r w:rsidDel="00000000" w:rsidR="00000000" w:rsidRPr="00000000">
        <w:rPr>
          <w:rFonts w:ascii="Arial" w:cs="Arial" w:eastAsia="Arial" w:hAnsi="Arial"/>
          <w:sz w:val="22"/>
          <w:szCs w:val="22"/>
          <w:rtl w:val="0"/>
        </w:rPr>
        <w:t xml:space="preserve">Im Rahmen dieses fiktiven Szenarios agiert das fusionierte Bundesland Ostdeutschland als einheitlicher Hoheitsträger. Die Beteiligung erfolgt über eine landeseigene Holdinggesellschaft (z.B. 'Ostdeutsche Industrieholding GmbH') mit Sitz in der Landeshauptstadt. Eisenhüttenstadt liegt im ehemaligen Brandenburg und damit zentral im Kerngebiet des neuen Bundeslandes – die geografische und industriepolitische Logik einer Übernahme ist damit besonders stark. Eine Bundesbeteiligung über KfW oder stille Einlagen des Bundes bleibt empfehlenswert.</w:t>
      </w: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sz w:val="10"/>
          <w:szCs w:val="10"/>
          <w:rtl w:val="0"/>
        </w:rPr>
        <w:t xml:space="preserve"> </w:t>
      </w:r>
      <w:r w:rsidDel="00000000" w:rsidR="00000000" w:rsidRPr="00000000">
        <w:rPr>
          <w:rtl w:val="0"/>
        </w:rPr>
      </w:r>
    </w:p>
    <w:p w:rsidR="00000000" w:rsidDel="00000000" w:rsidP="00000000" w:rsidRDefault="00000000" w:rsidRPr="00000000" w14:paraId="00000068">
      <w:pPr>
        <w:shd w:fill="1a3a5c" w:val="clear"/>
        <w:spacing w:after="80" w:before="80" w:lineRule="auto"/>
        <w:jc w:val="center"/>
        <w:rPr/>
      </w:pPr>
      <w:r w:rsidDel="00000000" w:rsidR="00000000" w:rsidRPr="00000000">
        <w:rPr>
          <w:rFonts w:ascii="Arial" w:cs="Arial" w:eastAsia="Arial" w:hAnsi="Arial"/>
          <w:b w:val="1"/>
          <w:bCs w:val="1"/>
          <w:color w:val="ffffff"/>
          <w:sz w:val="22"/>
          <w:szCs w:val="22"/>
          <w:rtl w:val="0"/>
        </w:rPr>
        <w:t xml:space="preserve">Zusammenfassung Preisvorstellung</w:t>
      </w:r>
      <w:r w:rsidDel="00000000" w:rsidR="00000000" w:rsidRPr="00000000">
        <w:rPr>
          <w:rtl w:val="0"/>
        </w:rPr>
      </w:r>
    </w:p>
    <w:p w:rsidR="00000000" w:rsidDel="00000000" w:rsidP="00000000" w:rsidRDefault="00000000" w:rsidRPr="00000000" w14:paraId="00000069">
      <w:pPr>
        <w:pBdr>
          <w:left w:color="1a3a5c" w:space="8" w:sz="16" w:val="single"/>
          <w:right w:color="1a3a5c" w:space="8" w:sz="16" w:val="single"/>
        </w:pBdr>
        <w:spacing w:after="60" w:before="120" w:lineRule="auto"/>
        <w:jc w:val="center"/>
        <w:rPr/>
      </w:pPr>
      <w:r w:rsidDel="00000000" w:rsidR="00000000" w:rsidRPr="00000000">
        <w:rPr>
          <w:rFonts w:ascii="Arial" w:cs="Arial" w:eastAsia="Arial" w:hAnsi="Arial"/>
          <w:b w:val="1"/>
          <w:bCs w:val="1"/>
          <w:color w:val="1a3a5c"/>
          <w:sz w:val="24"/>
          <w:szCs w:val="24"/>
          <w:rtl w:val="0"/>
        </w:rPr>
        <w:t xml:space="preserve">Indikative Preisvorstellung für Verhandlungseinstieg: 350 – 500 Mio. EUR (100 %-Übernahme, Basisfall)</w:t>
      </w:r>
      <w:r w:rsidDel="00000000" w:rsidR="00000000" w:rsidRPr="00000000">
        <w:rPr>
          <w:rtl w:val="0"/>
        </w:rPr>
      </w:r>
    </w:p>
    <w:p w:rsidR="00000000" w:rsidDel="00000000" w:rsidP="00000000" w:rsidRDefault="00000000" w:rsidRPr="00000000" w14:paraId="0000006A">
      <w:pPr>
        <w:spacing w:after="120" w:before="0" w:lineRule="auto"/>
        <w:jc w:val="center"/>
        <w:rPr/>
      </w:pPr>
      <w:r w:rsidDel="00000000" w:rsidR="00000000" w:rsidRPr="00000000">
        <w:rPr>
          <w:rFonts w:ascii="Arial" w:cs="Arial" w:eastAsia="Arial" w:hAnsi="Arial"/>
          <w:i w:val="1"/>
          <w:iCs w:val="1"/>
          <w:color w:val="444444"/>
          <w:sz w:val="20"/>
          <w:szCs w:val="20"/>
          <w:rtl w:val="0"/>
        </w:rPr>
        <w:t xml:space="preserve">Zusätzlicher Investitionsbedarf (10 Jahre): 950 – 1.650 Mio. EUR | Empfohlen: Konsortialmodell der sechs Bundesländer mit Bundesbeteiligung</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color="cccccc" w:space="4" w:sz="4" w:val="single"/>
      </w:pBdr>
      <w:jc w:val="center"/>
      <w:rPr/>
    </w:pPr>
    <w:r w:rsidDel="00000000" w:rsidR="00000000" w:rsidRPr="00000000">
      <w:rPr>
        <w:rFonts w:ascii="Arial" w:cs="Arial" w:eastAsia="Arial" w:hAnsi="Arial"/>
        <w:color w:val="888888"/>
        <w:sz w:val="18"/>
        <w:szCs w:val="18"/>
        <w:rtl w:val="0"/>
      </w:rPr>
      <w:t xml:space="preserve">Bundesland Ostdeutschland – Staatsregierung | Vertraulich | Seite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von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bottom w:color="cccccc" w:space="4" w:sz="4" w:val="single"/>
      </w:pBdr>
      <w:jc w:val="right"/>
      <w:rPr/>
    </w:pPr>
    <w:r w:rsidDel="00000000" w:rsidR="00000000" w:rsidRPr="00000000">
      <w:rPr>
        <w:rFonts w:ascii="Arial" w:cs="Arial" w:eastAsia="Arial" w:hAnsi="Arial"/>
        <w:i w:val="1"/>
        <w:iCs w:val="1"/>
        <w:color w:val="888888"/>
        <w:sz w:val="18"/>
        <w:szCs w:val="18"/>
        <w:rtl w:val="0"/>
      </w:rPr>
      <w:t xml:space="preserve">VERTRAULICH – Preisvorstellung Stahlwerk Eisenhüttenstadt | Bundesland Ostdeutschland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