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z w:val="40"/>
          <w:szCs w:val="40"/>
        </w:rPr>
        <w:t xml:space="preserve">游戏化测评文献 · 实验方法提取工作簿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Experimental Methods Extraction Workbook: Gamified Assessment Literature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版本 v1.0 ｜ 2026-07-09 ｜ 服务于 EAAI-27 LevelUp 研究 ｜ 上传 Google Drive 后可直接以 Google Docs 打开协作</w:t>
      </w:r>
    </w:p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0. 使用说明与状态标记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本工作簿逐篇提取游戏化测评文献的实验方法，聚焦四个问题：游戏化过程如何实施、对照如何拉平、结果如何、对我们 LevelUp 研究的启示。每篇标注信息状态：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✅ 已核实全文 —— 方法细节取自论文全文（本工作簿的可靠层，可直接引用）。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🟡 摘要级 —— 仅有摘要/片段信息，条目给出已知要点与"去原文哪里找"，实质引用前必须读原文。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⬜ 待读模板 —— 只有题录，附统一提取模板，认领后按模板填写。</w:t>
      </w:r>
    </w:p>
    <w:p>
      <w:pPr>
        <w:spacing w:after="80"/>
      </w:pPr>
      <w:r>
        <w:rPr>
          <w:b/>
          <w:bCs/>
          <w:i w:val="false"/>
          <w:iCs w:val="false"/>
          <w:sz w:val="21"/>
          <w:szCs w:val="21"/>
        </w:rPr>
        <w:t xml:space="preserve">诚实声明：⬜/🟡 条目中留白的字段是刻意留白——宁缺毋假，任何人不得凭印象补写。</w:t>
      </w:r>
    </w:p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1. 已核实研究 · 设计速览对照表</w:t>
      </w:r>
    </w:p>
    <w:tbl>
      <w:tblPr>
        <w:tblW w:type="dxa" w:w="10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500"/>
        <w:gridCol w:w="2100"/>
        <w:gridCol w:w="1500"/>
        <w:gridCol w:w="1900"/>
      </w:tblGrid>
      <w:tr>
        <w:tc>
          <w:tcPr>
            <w:tcW w:type="dxa" w:w="15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研究</w:t>
            </w:r>
          </w:p>
        </w:tc>
        <w:tc>
          <w:tcPr>
            <w:tcW w:type="dxa" w:w="15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人群 / n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设计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被操纵的游戏元素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两组拉平项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完成度/坚持相关结果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Rodrigues 等 2021 (SIGCSE)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本科算法课 / 19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随机两组 × 6 周重复测量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不预告徽章＋任务(mission)化视觉框架＋小组包装为战队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题目、数量、逐周 Bloom 难度递进、可选性、Moodle 平台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完成 quiz 数未被内在动机预测——作者归因于 quiz 挂课程加分（外部激励掩盖效应）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Harms 等 2015 (INTERACT)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青少年向体育问卷；60 人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远程被试间，round-robin 分配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化身＋地图自由探索＋4 个答题迷你游戏＋金币/商店＋颁奖礼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题目完全相同（61 题）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响应率反而更低：70% vs 86%；完成者用时约 2 倍（19:20 vs 09:18）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Aubert 等 2023 (PLOS ONE)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瑞士德语区成人代表样本 / 785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2×2（游戏化 × 学习环）四臂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竞选市长叙事＋化身＋NPC 引导互动＋章节进度与奖励＋专属视觉与环境音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决策信息、权重诱导方法（微调适配叙事）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游戏化与学习环都提高流失率；化身/起名被部分成人视为"不严肃"而中途退出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Attali &amp; Arieli-Attali 2015 (C&amp;E)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成人＋八年级；两个研究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条件间比较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积分（按作答准确与速度奖励）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同一套 CBAL 数学测评题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积分对准确率无效应；对作答速度等有小效应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Hilke 等 2026 (EAAI-26)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10–15 岁课堂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资源型课堂部署（非对照实验）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对抗式玩法（诱导误分类）＋XAI 显著性视图＋课堂共享排行榜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（资源论文，无完成度对照；供机制与架构参考）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2. 逐篇详录（✅ 已核实全文）</w:t>
      </w:r>
    </w:p>
    <w:p>
      <w:pPr>
        <w:pStyle w:val="Heading2"/>
        <w:spacing w:after="100" w:before="200"/>
      </w:pPr>
      <w:r>
        <w:rPr>
          <w:b/>
          <w:bCs/>
          <w:sz w:val="25"/>
          <w:szCs w:val="25"/>
        </w:rPr>
        <w:t xml:space="preserve">E1 ✅ Rodrigues, Toda, Oliveira, Palomino, Avila-Santos &amp; Isotani (2021)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题目：</w:t>
      </w:r>
      <w:r>
        <w:rPr>
          <w:sz w:val="21"/>
          <w:szCs w:val="21"/>
        </w:rPr>
        <w:t xml:space="preserve">Gamification Works, but How and to Whom? An Experimental Study in the Context of Programming Lessons — SIGCSE ’21</w:t>
      </w:r>
    </w:p>
    <w:p>
      <w:pPr>
        <w:spacing w:after="60"/>
      </w:pPr>
      <w:r>
        <w:rPr>
          <w:sz w:val="21"/>
          <w:szCs w:val="21"/>
        </w:rPr>
        <w:t xml:space="preserve">原文（作者主页 PDF，开放）： </w:t>
      </w:r>
      <w:hyperlink w:history="1" r:id="rIdjvctjzerutogojtomsevu">
        <w:r>
          <w:rPr>
            <w:rStyle w:val="Hyperlink"/>
            <w:sz w:val="19"/>
            <w:szCs w:val="19"/>
          </w:rPr>
          <w:t xml:space="preserve">https://rodriguesluiz.github.io/publications/gamificationworksbuthowandtowhom.pdf</w:t>
        </w:r>
      </w:hyperlink>
    </w:p>
    <w:p>
      <w:pPr>
        <w:spacing w:after="60"/>
      </w:pPr>
      <w:r>
        <w:rPr>
          <w:sz w:val="21"/>
          <w:szCs w:val="21"/>
        </w:rPr>
        <w:t xml:space="preserve">ACM DL： </w:t>
      </w:r>
      <w:hyperlink w:history="1" r:id="rId46uorsumocil_mjfqhxx-">
        <w:r>
          <w:rPr>
            <w:rStyle w:val="Hyperlink"/>
            <w:sz w:val="19"/>
            <w:szCs w:val="19"/>
          </w:rPr>
          <w:t xml:space="preserve">https://doi.org/10.1145/3408877.3432419</w:t>
        </w:r>
      </w:hyperlink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实验流程（文字流程图）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前测(15道MCQ)+熟悉度自评 → [按人随机分两组] → 每周6个quiz × 6周(难度按Bloom逐周递进)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GM组: 游戏化Moodle(徽章/使命框架/战队)   QN组: 普通Moodle(同题同规则)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每周: IMI兴趣-愉悦量表 → 6周后: 后测(同15题) ; 行为数据=Moodle日志(完成quiz数)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游戏化过程：九条 SDT 启发式的落地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采用 van Roy &amp; Zaman (2017) 的自我决定理论游戏化启发式，逐条实现；其中与"游戏元素"无直接关系的启发式（可选性、有意义选项、可完成目标、合作式小组等）两个版本都有——真正的操纵仅为三项：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不预告徽章（unannounced badges）：每周按 quiz 的认知维度表彰，不预告以避免"期待徽章"的焦虑（胜任感支持）。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使命化框架：quiz 呈现为图形增强的 mission（目标对齐）。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战队叙事：每周 6 个 quiz 中 2 个为小组活动，完成后可看同伴答案、讨论并修订（关联感支持）；刻意用合作替代竞争。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测量与分析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认知：15 MCQ 前后测（条件/循环/数组各 5 题），学习增益=后−前。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行为：完成 quiz 数（日志）。动机：IMI 兴趣-愉悦子量表每周一次（葡语版）。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分析：多元线性回归＋多层模型（LRT 自顶向下），FDR 校正。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关键结果与对 LevelUp 的启示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内在动机与完成数强预测学习增益（R²=0.76）；但内在动机不预测完成数——quiz 挂课程加分，外部激励掩盖了游戏化对完成行为的效应。→ LevelUp 铁律：两组外部激励一致且趋零。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游戏化 × 周次 × 先前熟悉度三重交互显著：效应方向随熟悉度与时间翻转。→ 前测加一题平台/AI 熟悉度自评作探索性调节。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动机量表缺失率 38%（填量表不加分）。→ 课后反馈问卷必须 ≤3 题。</w:t>
      </w:r>
    </w:p>
    <w:p>
      <w:pPr>
        <w:spacing w:after="50"/>
      </w:pPr>
      <w:r>
        <w:rPr>
          <w:b/>
          <w:bCs/>
          <w:sz w:val="21"/>
          <w:szCs w:val="21"/>
        </w:rPr>
        <w:t xml:space="preserve">代码/平台：</w:t>
      </w:r>
      <w:r>
        <w:rPr>
          <w:sz w:val="21"/>
          <w:szCs w:val="21"/>
        </w:rPr>
        <w:t xml:space="preserve">无自研代码；基于 Moodle 标准功能与插件级配置——复现成本低是该设计的优点之一</w:t>
      </w:r>
    </w:p>
    <w:p>
      <w:pPr>
        <w:pStyle w:val="Heading2"/>
        <w:spacing w:after="100" w:before="200"/>
      </w:pPr>
      <w:r>
        <w:rPr>
          <w:b/>
          <w:bCs/>
          <w:sz w:val="25"/>
          <w:szCs w:val="25"/>
        </w:rPr>
        <w:t xml:space="preserve">E2 ✅ Harms, Biegler, Wimmer, Kappel &amp; Grechenig (2015)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题目：</w:t>
      </w:r>
      <w:r>
        <w:rPr>
          <w:sz w:val="21"/>
          <w:szCs w:val="21"/>
        </w:rPr>
        <w:t xml:space="preserve">Gamification of Online Surveys: Design Process, Case Study, and Evaluation — INTERACT 2015</w:t>
      </w:r>
    </w:p>
    <w:p>
      <w:pPr>
        <w:spacing w:after="60"/>
      </w:pPr>
      <w:r>
        <w:rPr>
          <w:sz w:val="21"/>
          <w:szCs w:val="21"/>
        </w:rPr>
        <w:t xml:space="preserve">原文（作者主页 PDF，开放，含全部界面截图）： </w:t>
      </w:r>
      <w:hyperlink w:history="1" r:id="rIdkwtkxgad_4rgdssb0-tk6">
        <w:r>
          <w:rPr>
            <w:rStyle w:val="Hyperlink"/>
            <w:sz w:val="19"/>
            <w:szCs w:val="19"/>
          </w:rPr>
          <w:t xml:space="preserve">https://johannesharms.com/publications/harms2015gamification.pdf</w:t>
        </w:r>
      </w:hyperlink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游戏化设计过程（六步，MDA × 表单设计三层）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两名设计师、三次工作坊、三轮迭代（纸原型 → 网页原型 → 实现）。过程=收集游戏元素目录 → 依"关系层"定美学目标（选定 sensation/challenge/exploration 三美学）→ 依"对话层"选动态（进度反馈、限时压力）→ 依"外观层"选机制并原型化 → 形成性可用性测试迭代。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落地后的游戏化调查（题目与原问卷完全相同）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主题化视觉：整体致敬 jump’n’run 游戏（如超级马里奥）的美术风格。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化身：按被试人口学信息自动生成（刻意个性化以传达"化身=本人"，防角色扮演偏差）。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地图自由探索：四个运动项目=四个调查区，点击后化身走向该处。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答题迷你游戏：足球点球拖拽=二选一；标枪/跳远的距离映射 Likert 等级；短跑倒计时=限时开放题。每区先练习并演示指定答案后才进入真题（防误操作偏差）。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奖励回路：答题得金币 → 商店给化身买配饰（纯正反馈无其他功能）→ 完成时颁奖典礼页。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评估与结果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远程被试间，60 人 round-robin 分配，邀请不带报酬、不披露真实目的。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响应率：游戏化 70% vs 常规 86%（更低）；完成者用时约 2 倍；61 题中 57 题作答无差异，4 题（均为反向措辞 Likert、集中在标枪区）有显著差异——迷你游戏交互可能引入题项级偏差。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体验：更有趣（3.29 vs 2.32）、更愿推荐；但自信心更低、SUS 总分相当。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开发成本：游戏化版 247 工时 vs 常规版 6 工时。→ LevelUp 成本论点素材，也是我们选择"轻量进度机制而非迷你游戏"的依据。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对 LevelUp 的启示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迷你游戏改变作答交互 → 引入测量偏差；LevelUp 的"输入方式不变"红线由此获得直接实证支持。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响应率更低的两个解释（新奇设计的两极化反应、低熟悉感降低自信）→ 写进我们的风险预案与 Limitations。</w:t>
      </w:r>
    </w:p>
    <w:p>
      <w:pPr>
        <w:pStyle w:val="Heading2"/>
        <w:spacing w:after="100" w:before="200"/>
      </w:pPr>
      <w:r>
        <w:rPr>
          <w:b/>
          <w:bCs/>
          <w:sz w:val="25"/>
          <w:szCs w:val="25"/>
        </w:rPr>
        <w:t xml:space="preserve">E3 ✅ Aubert, Scheidegger &amp; Schmid (2023)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题目：</w:t>
      </w:r>
      <w:r>
        <w:rPr>
          <w:sz w:val="21"/>
          <w:szCs w:val="21"/>
        </w:rPr>
        <w:t xml:space="preserve">Gamified online surveys: Assessing experience with self-determination theory — PLOS ONE 18(10): e0292096</w:t>
      </w:r>
    </w:p>
    <w:p>
      <w:pPr>
        <w:spacing w:after="60"/>
      </w:pPr>
      <w:r>
        <w:rPr>
          <w:sz w:val="21"/>
          <w:szCs w:val="21"/>
        </w:rPr>
        <w:t xml:space="preserve">原文（开放获取）： </w:t>
      </w:r>
      <w:hyperlink w:history="1" r:id="rIdt_h47seraciku1lbmptwf">
        <w:r>
          <w:rPr>
            <w:rStyle w:val="Hyperlink"/>
            <w:sz w:val="19"/>
            <w:szCs w:val="19"/>
          </w:rPr>
          <w:t xml:space="preserve">https://doi.org/10.1371/journal.pone.0292096</w:t>
        </w:r>
      </w:hyperlink>
    </w:p>
    <w:p>
      <w:pPr>
        <w:spacing w:after="60"/>
      </w:pPr>
      <w:r>
        <w:rPr>
          <w:sz w:val="21"/>
          <w:szCs w:val="21"/>
        </w:rPr>
        <w:t xml:space="preserve">开放数据与 R 代码： </w:t>
      </w:r>
      <w:hyperlink w:history="1" r:id="rIdp6wh_woiwvczpr7np_djm">
        <w:r>
          <w:rPr>
            <w:rStyle w:val="Hyperlink"/>
            <w:sz w:val="19"/>
            <w:szCs w:val="19"/>
          </w:rPr>
          <w:t xml:space="preserve">https://doi.org/10.25678/0008VR</w:t>
        </w:r>
      </w:hyperlink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实验流程（文字流程图）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panel邀请(告知45-60分钟) → 过滤题(排除懂污水管理者) → GCOS人格量表 → [四臂随机]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臂1 常规  臂2 常规+学习环  臂3 游戏化  臂4 游戏化+学习环   (目标各200人)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MCDA权重诱导主任务 → GAMEFULQUEST体验量表 + BPN满足/受挫量表 → 结束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游戏化过程（叙事驱动型）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被试扮演小镇 New Waterton 的市长候选人：记者与污水工程师引导了解决策背景；十位市民各自倡导一个目标，在酒吧竞选集会上与玩家"辩论"完成权重诱导；次日核对报道并当选。游戏元素=叙事与章节进度、化身选择、NPC 引导与互动、奖励、专属视觉与环境音；每个元素在论文表 1 中映射到 SDT 三需求。</w:t>
      </w:r>
    </w:p>
    <w:p>
      <w:pPr>
        <w:pStyle w:val="Heading3"/>
        <w:spacing w:after="80" w:before="140"/>
      </w:pPr>
      <w:r>
        <w:rPr>
          <w:b/>
          <w:bCs/>
          <w:color w:val="1F4E79"/>
          <w:sz w:val="22"/>
          <w:szCs w:val="22"/>
        </w:rPr>
        <w:t xml:space="preserve">结果与对 LevelUp 的启示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2446 人开始 → 完成率仅 36%；游戏化与学习环都提高流失（含服务器故障的部分贡献）。部分成人认为选化身、起名"不安全、不严肃"而退出。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界面仅解释体验方差的 1–5%；三种基本心理需求解释 15–31%——个体差异远比界面重要；人格取向（GCOS）调节体验方向。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结论：面向一般人群的调查目前不推荐游戏化——但作者明确说明结果取决于其具体设计选择。→ LevelUp 的反面定位素材：成人×严肃公共议题×45–60 分钟×角色扮演 与 初中生×短测评×轻量进度机制是完全不同的设计空间；我们的机制选型（无叙事强制、无起名、只做进度可视化）正是对这组失败要因的规避。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方法学亮点可借用：预注册式样本量规划、代表性样本配额、直线作答/超速者清洗规则、量表 α 全部 &gt;0.7 的报告方式。R 代码开放，我们的分析管线可对照其建模写法。</w:t>
      </w:r>
    </w:p>
    <w:p>
      <w:pPr>
        <w:pStyle w:val="Heading2"/>
        <w:spacing w:after="100" w:before="200"/>
      </w:pPr>
      <w:r>
        <w:rPr>
          <w:b/>
          <w:bCs/>
          <w:sz w:val="25"/>
          <w:szCs w:val="25"/>
        </w:rPr>
        <w:t xml:space="preserve">E4 🟡→较充分 Attali &amp; Arieli-Attali (2015)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题目：</w:t>
      </w:r>
      <w:r>
        <w:rPr>
          <w:sz w:val="21"/>
          <w:szCs w:val="21"/>
        </w:rPr>
        <w:t xml:space="preserve">Gamification in assessment: Do points affect test performance? — Computers &amp; Education 83: 57–63</w:t>
      </w:r>
    </w:p>
    <w:p>
      <w:pPr>
        <w:spacing w:after="60"/>
      </w:pPr>
      <w:r>
        <w:rPr>
          <w:sz w:val="21"/>
          <w:szCs w:val="21"/>
        </w:rPr>
        <w:t xml:space="preserve">出处： </w:t>
      </w:r>
      <w:hyperlink w:history="1" r:id="rId-ofl0nb3f3mxxa-vyiuzl">
        <w:r>
          <w:rPr>
            <w:rStyle w:val="Hyperlink"/>
            <w:sz w:val="19"/>
            <w:szCs w:val="19"/>
          </w:rPr>
          <w:t xml:space="preserve">https://doi.org/10.1016/j.compedu.2014.12.012</w:t>
        </w:r>
      </w:hyperlink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已核实要点：在 CBAL 数学测评中加入按作答准确与快速给分的积分机制；两个研究（研究 1 成人、研究 2 青少年学生）。积分操纵对主要表现结果——作答准确率——在两个人群中均无效应；对速度等次要指标及喜好度有小效应（八年级学生在积分条件下喜好评分更高）。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对 LevelUp：H3（换壳不伤测量）的最重要正面先例；同时提示"奖励速度会改变作答节奏"——LevelUp 只奖进度、绝不按速度给分的依据。</w:t>
      </w:r>
    </w:p>
    <w:p>
      <w:pPr>
        <w:spacing w:after="80"/>
      </w:pPr>
      <w:r>
        <w:rPr>
          <w:b w:val="false"/>
          <w:bCs w:val="false"/>
          <w:i/>
          <w:iCs/>
          <w:sz w:val="21"/>
          <w:szCs w:val="21"/>
        </w:rPr>
        <w:t xml:space="preserve">待读补充项：积分的具体呈现界面、题量与时长、样本量细节 → 从 ScienceDirect 原文 §2–3 提取。</w:t>
      </w:r>
    </w:p>
    <w:p>
      <w:pPr>
        <w:pStyle w:val="Heading2"/>
        <w:spacing w:after="100" w:before="200"/>
      </w:pPr>
      <w:r>
        <w:rPr>
          <w:b/>
          <w:bCs/>
          <w:sz w:val="25"/>
          <w:szCs w:val="25"/>
        </w:rPr>
        <w:t xml:space="preserve">E5 🟡→较充分 Hilke, Pope, Kahila, Vartiainen, Roos, Parkki &amp; Tedre (2026)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题目：</w:t>
      </w:r>
      <w:r>
        <w:rPr>
          <w:sz w:val="21"/>
          <w:szCs w:val="21"/>
        </w:rPr>
        <w:t xml:space="preserve">Breakable Machine: A K–12 Classroom Game for Transformative AI Literacy Through Spoofing and XAI — AAAI 40(47): 40762–40770</w:t>
      </w:r>
    </w:p>
    <w:p>
      <w:pPr>
        <w:spacing w:after="60"/>
      </w:pPr>
      <w:r>
        <w:rPr>
          <w:sz w:val="21"/>
          <w:szCs w:val="21"/>
        </w:rPr>
        <w:t xml:space="preserve">AAAI 版： </w:t>
      </w:r>
      <w:hyperlink w:history="1" r:id="rId_qzqut2koxwv1f0kxm1if">
        <w:r>
          <w:rPr>
            <w:rStyle w:val="Hyperlink"/>
            <w:sz w:val="19"/>
            <w:szCs w:val="19"/>
          </w:rPr>
          <w:t xml:space="preserve">https://ojs.aaai.org/index.php/AAAI/article/view/41525</w:t>
        </w:r>
      </w:hyperlink>
    </w:p>
    <w:p>
      <w:pPr>
        <w:spacing w:after="60"/>
      </w:pPr>
      <w:r>
        <w:rPr>
          <w:sz w:val="21"/>
          <w:szCs w:val="21"/>
        </w:rPr>
        <w:t xml:space="preserve">arXiv HTML（含系统图）： </w:t>
      </w:r>
      <w:hyperlink w:history="1" r:id="rIdg46z0r_ueb8oojp8v_o9w">
        <w:r>
          <w:rPr>
            <w:rStyle w:val="Hyperlink"/>
            <w:sz w:val="19"/>
            <w:szCs w:val="19"/>
          </w:rPr>
          <w:t xml:space="preserve">https://arxiv.org/html/2508.14201v1</w:t>
        </w:r>
      </w:hyperlink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已核实要点：面向 10–15 岁的课堂游戏；学生通过改变外观/环境诱导图像分类器高置信度误判来学习 AI 的脆弱性；含 XAI 显著性视图与课堂共享排行榜促进协作探究。架构为双端浏览器应用：教师端投影 + 学生端手机/平板，经 WebRTC 本地点对点通信，数据留在教室并于课次结束自动删除（GDPR 取向）。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对 LevelUp：目标人群精确重叠；其排行榜服务于协作探究而非测评效度——与我们"测评场景禁排行榜"并不矛盾，写 Related Work 时按用途区分。其"数据不出教室"的隐私架构是我们伦理段的参照。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3. 摘要级条目（🟡 需读原文后升级）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060"/>
      </w:tblGrid>
      <w:tr>
        <w:tc>
          <w:tcPr>
            <w:tcW w:type="dxa" w:w="2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条目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已知方法要点（仅限已核实片段）</w:t>
            </w:r>
          </w:p>
        </w:tc>
        <w:tc>
          <w:tcPr>
            <w:tcW w:type="dxa" w:w="306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待提取项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Lumsden 等 2016 系统综述 (JMIR SG)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检索 2007–2015；纳入约 33 项研究、31 个游戏化认知任务；结论：游戏化测验通常通过效度验证，训练类动机提升但表现效应混合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各任务用了哪些元素的分类表（原文表格）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JMIR 2020 元分析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游戏化训练动机/投入 g=0.72；多数纳入研究缺非游戏化对照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测评类子集的效应量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OMDE 框架 2021 (JMIR SG)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把游戏化认知任务组件分为 objects/mechanics/dynamics/emotions 四类的设计指南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四类的操作定义清单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Shute 等 2021 (JCAL)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隐形测评估计与外部物理测验显著相关；关卡交付方式对学习无显著影响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“交付方式”具体如何操纵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AdventureLEARN (CHI PLAY 2023)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名大学生、7 天、自驱学习平台上不同游戏化机制的体验差异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机制清单与分配方式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L@S 2022 游戏化误用案例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语言学习 App 中游戏化被"钻空子"的质性案例研究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误用行为分类（对应我们的快答风险）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IDC 2023 儿童参与式游戏化测验设计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与小学生工作坊共同设计法律主题游戏化测验；参与式绘图评估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儿童提出的游戏偏好清单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自适应游戏化测评 2024 (EAIT)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SDT+语言测评原则下的混合式学习自适应游戏化测试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自适应规则与对照设置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4. 待读条目与统一提取模板（⬜）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剩余条目：Sanchez 等 2020（游戏化 quiz 课堂实证）、Hallifax 等 2019（CHI PLAY 个性化）、Personalization CHI PLAY 2021、Beetrap-MC、Games of Representation、Tsang 2026、Shute &amp; Rahimi 2021、Denny 等 2018（CHI，因果证据）、Shute &amp; Ventura 2013（专著）。链接见《20 篇清单》。认领后按下表逐项填写：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70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填写要求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出处与链接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题目 / venue / 年份 / DOI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被试与情境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人群、n、场所（课堂/远程）、时长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设计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组数、分配方式（个体/整群随机）、重复测量与否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游戏化操纵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用了哪些元素、如何呈现（截图页码）、奖励逻辑（进度/正确/速度）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拉平项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两组保持一致的所有要素（题目/输入/时限/激励）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测量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完成度类指标？作答质量类？动机量表？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结果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主结果 + 与完成度/流失直接相关的任何数字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可视化材料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系统截图/流程图在原文第几页；有无开放代码或数据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对 LevelUp 启示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一句话：支持/警示了我们哪条设计红线或假设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5. 汇总：五篇已核实研究 → LevelUp 六条设计决策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① 外部激励两组一致且趋零 —— Rodrigues：课程加分掩盖了游戏化对完成行为的效应。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② 只奖进度，不奖正确、不奖速度 —— Attali：奖速度改变作答节奏；奖正确会在测评中引入反馈污染。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③ 输入交互保持不变，不做答题迷你游戏 —— Harms：迷你游戏区出现题项级作答差异；且开发成本 247h vs 6h。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④ 不强制叙事角色扮演、不要求起名 —— Aubert：成人视其为不严肃而流失；初中生语境虽不同，仍保持机制轻量。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⑤ 测评场景禁排行榜；协作探究场景（如 Breakable Machine）是不同用途 —— Related Work 按用途区分引用。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⑥ 课后问卷 ≤3 题 —— Rodrigues 的 38% 量表缺失率教训；研究完成度的实验不能自己制造未完成。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80"/>
      </w:pPr>
      <w:r>
        <w:rPr>
          <w:b w:val="false"/>
          <w:bCs w:val="false"/>
          <w:i/>
          <w:iCs/>
          <w:color w:val="595959"/>
          <w:sz w:val="21"/>
          <w:szCs w:val="21"/>
        </w:rPr>
        <w:t xml:space="preserve">维护约定：升级任何 🟡/⬜ 条目后，同步更新第 1 节对照表与本节决策表；引用进论文前按《文献研读手册》纪律核对 DOI。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vctjzerutogojtomsevu" Type="http://schemas.openxmlformats.org/officeDocument/2006/relationships/hyperlink" Target="https://rodriguesluiz.github.io/publications/gamificationworksbuthowandtowhom.pdf" TargetMode="External"/><Relationship Id="rId46uorsumocil_mjfqhxx-" Type="http://schemas.openxmlformats.org/officeDocument/2006/relationships/hyperlink" Target="https://doi.org/10.1145/3408877.3432419" TargetMode="External"/><Relationship Id="rIdkwtkxgad_4rgdssb0-tk6" Type="http://schemas.openxmlformats.org/officeDocument/2006/relationships/hyperlink" Target="https://johannesharms.com/publications/harms2015gamification.pdf" TargetMode="External"/><Relationship Id="rIdt_h47seraciku1lbmptwf" Type="http://schemas.openxmlformats.org/officeDocument/2006/relationships/hyperlink" Target="https://doi.org/10.1371/journal.pone.0292096" TargetMode="External"/><Relationship Id="rIdp6wh_woiwvczpr7np_djm" Type="http://schemas.openxmlformats.org/officeDocument/2006/relationships/hyperlink" Target="https://doi.org/10.25678/0008VR" TargetMode="External"/><Relationship Id="rId-ofl0nb3f3mxxa-vyiuzl" Type="http://schemas.openxmlformats.org/officeDocument/2006/relationships/hyperlink" Target="https://doi.org/10.1016/j.compedu.2014.12.012" TargetMode="External"/><Relationship Id="rId_qzqut2koxwv1f0kxm1if" Type="http://schemas.openxmlformats.org/officeDocument/2006/relationships/hyperlink" Target="https://ojs.aaai.org/index.php/AAAI/article/view/41525" TargetMode="External"/><Relationship Id="rIdg46z0r_ueb8oojp8v_o9w" Type="http://schemas.openxmlformats.org/officeDocument/2006/relationships/hyperlink" Target="https://arxiv.org/html/2508.14201v1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2026-07-09T02:50:26.170Z</dcterms:created>
  <dcterms:modified xsi:type="dcterms:W3CDTF">2026-07-09T02:50:26.184Z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