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保留到预生产设备实验室，不阻塞当前客户端迭代。2026-07-31 已固化 API 24–28 / 29–33 / 34–36 三 lane、六组 profile 工件与 exact provenance 汇总门禁；plan-only 通过不代表真机长稳通过。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benchmark、device-soak/device-lab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103 suites / 700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通过；三 lane/六工件矩阵及 provenance 门禁已固化，24h/72h 真机执行延期到预生产设备实验室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pStyle w:val="ListBullet"/>
      </w:pPr>
      <w:r>
        <w:t>Device-soak schema v3 绑定 APK、clean source、matrix/budget/runner 哈希、lane 与完整设备身份；aggregate gate 要求同一 APK/source、全部 lane/profile 以及 OEM/设备/reset 多样性。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按已固化的真机/OEM/API 矩阵执行 native、ANR、多进程和长期离线实测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