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显式宿主接入状态由 7 个固定枚举槽记录 module/registration/observation/time；不保留 URL、SQL、路径、WebView 或 executor，init/stop 定义证据会话边界。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pStyle w:val="ListBullet"/>
      </w:pPr>
      <w:r>
        <w:t>device-soak schema v3 绑定 exact APK/source/matrix/budget/runner/lane/device provenance；三 lane/六工件 aggregate gate 检查完整性、OEM/设备/reset 多样性和单 APK/source 一致性，plan-only 校验不产生真机结论。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CRITICAL IPC 仅在同步存储接受后删除；失败保留重试且宿主 crash handler 始终委托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通过；三 lane/六工件矩阵及 provenance 门禁已固化，24h/72h 真机执行延期到预生产设备实验室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python tools/verify_collector_e2e.py --server-repo &lt;AndroidAPM-Server checkout&gt;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