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2026-07-23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持久化并交给可注入上传器。它仍是客户端框架，不包含生产采集后端、查询、告警和运营闭环。2026-07-23 的物理设备 microbenchmark 通过；FPS 静态页面 VSync observer 修复后，两轮 smoke 在原 20% 门禁下以 12.928% / 12.362% CPU 通过。短 smoke 不替代 24h/72h 长稳验收。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159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benchmark、device-soak host gate、插件和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通过；FPS observer 修复后两轮原绝对预算 smoke 以 12.928% / 12.362% CPU 通过；schema v2 新增 control/enabled/delta CPU 归因且不放宽门禁；24h/72h 未执行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Strict production profile 在创建 SDK 资源前校验显式 consent、HTTPS/自定义 uploader、SQLite、PII 与 debug logging。</w:t>
      </w:r>
    </w:p>
    <w:p>
      <w:pPr>
        <w:pStyle w:val="ListBullet"/>
      </w:pPr>
      <w:r>
        <w:t>Consent revoke 不做优雅 drain；停止 delivery 后清理活动队列、SQLite/File outbox 与 IPC hand-off 文件。</w:t>
      </w:r>
    </w:p>
    <w:p>
      <w:pPr>
        <w:pStyle w:val="ListBullet"/>
      </w:pPr>
      <w:r>
        <w:t>V2 protobuf envelope 按实际编码字节拆批；2xx 只有 schema、batchId 和事件数精确 ACK 才删除 outbox。</w:t>
      </w:r>
    </w:p>
    <w:p>
      <w:pPr>
        <w:pStyle w:val="ListBullet"/>
      </w:pPr>
      <w:r>
        <w:t>Dispatcher 同时受 2048 条和 8 MiB 估算字节预算约束；IPC 与 SQLite 另按 encoded/file/durable bytes 独立限界。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v3 为常用标量写类型标签并兼容读取 v1/v2；任意对象仍安全降级为字符串。</w:t>
      </w:r>
    </w:p>
    <w:p>
      <w:pPr>
        <w:pStyle w:val="ListBullet"/>
      </w:pPr>
      <w:r>
        <w:t>apm-uploader 保持底层依赖方向，同时以模块内命名工厂显式治理 worker/scheduler 的 daemon 与 MIN_PRIORITY。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在原预算 smoke 已连续通过后，执行 24h/72h、长稳功耗、热与磁盘验收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2026-07-23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