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功耗证据。2026-07-31 真实 HttpApmUploader 已与独立参考服务端完成 V2/Gzip/exact ACK/typed persistence/重放去重联调；该 SQLite 兼容证据不替代 PostgreSQL/TLS/代理故障或生产部署验收。2026-07-24 当前 Redmi 的 checkin UID power 五分钟后仍为零，不构成功耗接受。2026-07-25 的 24h 重试在完成前主动取消且无 JSON；长 profile 保留到预生产设备实验室，不阻塞当前客户端迭代。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160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 suites / 693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ApmDiagnostics 以固定大小、无宿主值的 hostIntegrationSnapshot 区分模块运行、当前 registration 与会话内调用证据；NO_RUNTIME_EVIDENCE 只表示本会话尚未发生相应流程。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把已联调的参考 Collector 部署到 PostgreSQL/TLS staging，完成鉴权、限流和隐私治理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验收并发 eventId 幂等、commit uncertainty、ACK 丢失、重放与死信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