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publication；microbenchmark 固定 time/allocation，device-soak 固定 A/B/资源/时长/重启证据。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修复后两轮原预算 smoke 以 12.928% / 12.362% CPU 通过；24h/72h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