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保留到预生产设备实验室，不阻塞当前客户端迭代。2026-07-31 已固化 API 24–28 / 29–33 / 34–36 三 lane、六组 profile 工件与 exact provenance 汇总门禁；plan-only 通过不代表真机长稳通过。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106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JVM、Robolectric、发布候选、instrumented benchmark、device-soak/device-lab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103 suites / 700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通过；三 lane/六工件矩阵及 provenance 门禁已固化，24h/72h 真机执行延期到预生产设备实验室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ApmDiagnostics 以固定大小、无宿主值的 hostIntegrationSnapshot 区分模块运行、当前 registration 与会话内调用证据；NO_RUNTIME_EVIDENCE 只表示本会话尚未发生相应流程。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pStyle w:val="ListBullet"/>
      </w:pPr>
      <w:r>
        <w:t>Device-soak schema v3 绑定 APK、clean source、matrix/budget/runner 哈希、lane 与完整设备身份；aggregate gate 要求同一 APK/source、全部 lane/profile 以及 OEM/设备/reset 多样性。</w:t>
      </w:r>
    </w:p>
    <w:p>
      <w:pPr>
        <w:pStyle w:val="ListBullet"/>
      </w:pPr>
      <w:r>
        <w:t>发布候选门禁校验 25 个 Maven 坐标、Bundle/Gradle 插件依赖图、Java 17 字节码与 ZIP 安全，生成逐文件 SHA-256 manifest 和 SPDX SBOM；真实外部 staging/promotion 仍需平台凭据。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按已固化的真机/OEM/API 矩阵执行 native、ANR、多进程和长期离线实测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符号上传/后台符号化；用平台凭据完成外部 Maven staging/promotion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