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2026-07-22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持久化并交给可注入上传器。它仍是客户端框架，不包含生产采集后端、查询、告警和运营闭环；因此不能仅凭模块数量宣称生产完成。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161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156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97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benchmark、host budget gate、插件和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Java 17 toolchain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Gradle runtime JDK 17+ / 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develop（以 git log 为准）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以当前源码和可执行验证为准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Strict production profile 在创建 SDK 资源前校验显式 consent、HTTPS/自定义 uploader、SQLite、PII 与 debug logging。</w:t>
      </w:r>
    </w:p>
    <w:p>
      <w:pPr>
        <w:pStyle w:val="ListBullet"/>
      </w:pPr>
      <w:r>
        <w:t>Consent revoke 不做优雅 drain；停止 delivery 后清理活动队列、SQLite/File outbox 与 IPC hand-off 文件。</w:t>
      </w:r>
    </w:p>
    <w:p>
      <w:pPr>
        <w:pStyle w:val="ListBullet"/>
      </w:pPr>
      <w:r>
        <w:t>V2 protobuf envelope 按实际编码字节拆批；2xx 只有 schema、batchId 和事件数精确 ACK 才删除 outbox。</w:t>
      </w:r>
    </w:p>
    <w:p>
      <w:pPr>
        <w:pStyle w:val="ListBullet"/>
      </w:pPr>
      <w:r>
        <w:t>内存队列有界，批处理在专用工作循环完成，避免调用方同步执行数据库写入。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v3 为常用标量写类型标签并兼容读取 v1/v2；任意对象仍安全降级为字符串。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接入生产 collector，并定义鉴权、限流、协议版本和隐私治理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 Collector 按客户端 eventId 幂等，明确整批 ACK、重放与死信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2026-07-22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