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2026-07-10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22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128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123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63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JDK 21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3c27ff9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线程治理优化后的当前实现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Memory、Crash、ANR、Launch、CPU、FPS、Jank、ExitReason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由宿主在真实调用点传入耗时、大小或错误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→ SQLite outbox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未实现的预留项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通用 Binder Hook、WebView 自动注册、线程泄漏、overdraw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配置字段存在不代表运行时能力存在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at-least-once；没有稳定事件 ID、服务端幂等键或 exactly-once 保证。</w:t>
      </w:r>
    </w:p>
    <w:p>
      <w:pPr>
        <w:pStyle w:val="ListBullet"/>
      </w:pPr>
      <w:r>
        <w:t>当前没有多消费者 claim/lease；若未来允许多个上传执行者，必须先补并发所有权协议。</w:t>
      </w:r>
    </w:p>
    <w:p>
      <w:pPr>
        <w:pStyle w:val="ListBullet"/>
      </w:pPr>
      <w:r>
        <w:t>持久化 codec 会把任意字段字符串化，强类型跨重启保真不是当前契约。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补事件 ID、服务端幂等和 outbox claim/lease，明确重放与死信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让配置项、文档和真实运行时能力持续一一对应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2026-07-10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