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2026-07-23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通过。短 smoke 不替代 24h/72h 长稳验收。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159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benchmark、device-soak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通过；FPS observer 修复后两轮原绝对预算 smoke 以 12.928% / 12.362% CPU 通过；schema v2 新增 control/enabled/delta CPU 归因且不放宽门禁；24h/72h 未执行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pStyle w:val="ListBullet"/>
      </w:pPr>
      <w:r>
        <w:t>apm-uploader 保持底层依赖方向，同时以模块内命名工厂显式治理 worker/scheduler 的 daemon 与 MIN_PRIORITY。</w:t>
      </w:r>
    </w:p>
    <w:p>
      <w:pPr>
        <w:pStyle w:val="ListBullet"/>
      </w:pPr>
      <w:r>
        <w:t>Dispatcher 在 self-monitor 开启时以固定无逐样本分配直方图输出六阶段 count、平均、P95 上界和最大延迟；关闭时跳过计时，阶段证据不自动触发并行化。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在原预算 smoke 已连续通过后，执行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2026-07-23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