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61D96C">
      <w:pPr>
        <w:spacing w:line="440" w:lineRule="exact"/>
        <w:jc w:val="center"/>
        <w:rPr>
          <w:rFonts w:hint="default" w:ascii="黑体" w:hAnsi="黑体" w:eastAsia="黑体"/>
          <w:b/>
          <w:bCs/>
          <w:color w:val="auto"/>
          <w:kern w:val="0"/>
          <w:sz w:val="30"/>
          <w:szCs w:val="30"/>
          <w:lang w:val="en-US" w:eastAsia="zh-CN"/>
        </w:rPr>
      </w:pPr>
      <w:r>
        <w:rPr>
          <w:rFonts w:hint="eastAsia" w:ascii="黑体" w:hAnsi="黑体" w:eastAsia="黑体"/>
          <w:b/>
          <w:bCs/>
          <w:color w:val="auto"/>
          <w:kern w:val="0"/>
          <w:sz w:val="30"/>
          <w:szCs w:val="30"/>
        </w:rPr>
        <w:t>关于实施经理级及基层人员内退</w:t>
      </w:r>
      <w:r>
        <w:rPr>
          <w:rFonts w:hint="eastAsia" w:ascii="黑体" w:hAnsi="黑体" w:eastAsia="黑体"/>
          <w:b/>
          <w:bCs/>
          <w:color w:val="auto"/>
          <w:kern w:val="0"/>
          <w:sz w:val="30"/>
          <w:szCs w:val="30"/>
          <w:lang w:val="en-US" w:eastAsia="zh-CN"/>
        </w:rPr>
        <w:t>政策</w:t>
      </w:r>
      <w:r>
        <w:rPr>
          <w:rFonts w:hint="eastAsia" w:ascii="黑体" w:hAnsi="黑体" w:eastAsia="黑体"/>
          <w:b/>
          <w:bCs/>
          <w:color w:val="auto"/>
          <w:kern w:val="0"/>
          <w:sz w:val="30"/>
          <w:szCs w:val="30"/>
        </w:rPr>
        <w:t>的通知</w:t>
      </w:r>
      <w:r>
        <w:rPr>
          <w:rFonts w:hint="eastAsia" w:ascii="黑体" w:hAnsi="黑体" w:eastAsia="黑体"/>
          <w:b/>
          <w:bCs/>
          <w:color w:val="auto"/>
          <w:kern w:val="0"/>
          <w:sz w:val="30"/>
          <w:szCs w:val="30"/>
          <w:lang w:val="en-US" w:eastAsia="zh-CN"/>
        </w:rPr>
        <w:t>(华啤人力〔2026〕216号)</w:t>
      </w:r>
    </w:p>
    <w:p w14:paraId="2C3C158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440" w:lineRule="exact"/>
        <w:ind w:right="0"/>
        <w:jc w:val="left"/>
        <w:textAlignment w:val="auto"/>
        <w:rPr>
          <w:rFonts w:hint="default" w:ascii="宋体" w:hAnsi="宋体" w:eastAsia="宋体" w:cs="宋体"/>
          <w:b w:val="0"/>
          <w:i w:val="0"/>
          <w:strike w:val="0"/>
          <w:color w:val="auto"/>
          <w:kern w:val="2"/>
          <w:sz w:val="24"/>
          <w:szCs w:val="24"/>
          <w:u w:val="none"/>
          <w:lang w:val="en-US" w:eastAsia="zh-CN" w:bidi="ar"/>
        </w:rPr>
      </w:pPr>
      <w:r>
        <w:rPr>
          <w:rFonts w:hint="eastAsia" w:ascii="宋体" w:hAnsi="宋体" w:eastAsia="宋体" w:cs="宋体"/>
          <w:b w:val="0"/>
          <w:i w:val="0"/>
          <w:strike w:val="0"/>
          <w:color w:val="auto"/>
          <w:kern w:val="2"/>
          <w:sz w:val="24"/>
          <w:szCs w:val="24"/>
          <w:u w:val="none"/>
          <w:lang w:val="en-US" w:eastAsia="zh-CN" w:bidi="ar"/>
        </w:rPr>
        <w:t>///</w:t>
      </w:r>
    </w:p>
    <w:p w14:paraId="68D2AEAF">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440" w:lineRule="exact"/>
        <w:ind w:right="0"/>
        <w:jc w:val="left"/>
        <w:textAlignment w:val="auto"/>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kern w:val="2"/>
          <w:sz w:val="24"/>
          <w:szCs w:val="24"/>
          <w:u w:val="none"/>
          <w:lang w:val="en-US" w:eastAsia="zh-CN" w:bidi="ar"/>
        </w:rPr>
        <w:t>华润啤酒各职能部门，华润雪花，华润酒业：</w:t>
      </w:r>
    </w:p>
    <w:p w14:paraId="3A7BC9F4">
      <w:pPr>
        <w:keepNext w:val="0"/>
        <w:keepLines w:val="0"/>
        <w:pageBreakBefore w:val="0"/>
        <w:widowControl w:val="0"/>
        <w:kinsoku/>
        <w:wordWrap/>
        <w:overflowPunct/>
        <w:topLinePunct w:val="0"/>
        <w:autoSpaceDE/>
        <w:autoSpaceDN/>
        <w:bidi w:val="0"/>
        <w:adjustRightInd w:val="0"/>
        <w:snapToGrid w:val="0"/>
        <w:spacing w:line="440" w:lineRule="exact"/>
        <w:ind w:firstLine="480" w:firstLineChars="200"/>
        <w:textAlignment w:val="auto"/>
        <w:rPr>
          <w:rFonts w:ascii="宋体" w:hAnsi="宋体" w:eastAsia="宋体"/>
          <w:b/>
          <w:color w:val="000000" w:themeColor="text1"/>
          <w:sz w:val="24"/>
          <w:szCs w:val="24"/>
          <w14:textFill>
            <w14:solidFill>
              <w14:schemeClr w14:val="tx1"/>
            </w14:solidFill>
          </w14:textFill>
        </w:rPr>
      </w:pPr>
      <w:r>
        <w:rPr>
          <w:rFonts w:hint="eastAsia" w:ascii="宋体" w:hAnsi="宋体" w:eastAsia="宋体"/>
          <w:bCs/>
          <w:color w:val="000000" w:themeColor="text1"/>
          <w:sz w:val="24"/>
          <w:szCs w:val="24"/>
          <w:lang w:val="en-US" w:eastAsia="zh-CN"/>
          <w14:textFill>
            <w14:solidFill>
              <w14:schemeClr w14:val="tx1"/>
            </w14:solidFill>
          </w14:textFill>
        </w:rPr>
        <w:t>为稳步推进公司瘦身工作，结合公司组织架构变化情况，华润啤酒现针对经理级及基层员工施行如下内退政策：</w:t>
      </w:r>
    </w:p>
    <w:p w14:paraId="33C72C64">
      <w:pPr>
        <w:numPr>
          <w:ilvl w:val="0"/>
          <w:numId w:val="0"/>
        </w:numPr>
        <w:spacing w:line="440" w:lineRule="exact"/>
        <w:ind w:left="420" w:leftChars="0" w:firstLine="105" w:firstLineChars="0"/>
        <w:rPr>
          <w:rFonts w:hint="eastAsia" w:ascii="宋体" w:hAnsi="宋体" w:eastAsia="宋体"/>
          <w:b/>
          <w:color w:val="000000" w:themeColor="text1"/>
          <w:sz w:val="24"/>
          <w:szCs w:val="24"/>
          <w:lang w:val="en-US" w:eastAsia="zh-CN"/>
          <w14:textFill>
            <w14:solidFill>
              <w14:schemeClr w14:val="tx1"/>
            </w14:solidFill>
          </w14:textFill>
        </w:rPr>
      </w:pPr>
      <w:r>
        <w:rPr>
          <w:rFonts w:hint="eastAsia" w:ascii="宋体" w:hAnsi="宋体" w:eastAsia="宋体"/>
          <w:b/>
          <w:color w:val="000000" w:themeColor="text1"/>
          <w:sz w:val="24"/>
          <w:szCs w:val="24"/>
          <w:lang w:val="en-US" w:eastAsia="zh-CN"/>
          <w14:textFill>
            <w14:solidFill>
              <w14:schemeClr w14:val="tx1"/>
            </w14:solidFill>
          </w14:textFill>
        </w:rPr>
        <w:t>一、</w:t>
      </w:r>
      <w:r>
        <w:rPr>
          <w:rFonts w:hint="eastAsia" w:ascii="宋体" w:hAnsi="宋体" w:eastAsia="宋体"/>
          <w:b/>
          <w:color w:val="000000" w:themeColor="text1"/>
          <w:sz w:val="24"/>
          <w:szCs w:val="24"/>
          <w14:textFill>
            <w14:solidFill>
              <w14:schemeClr w14:val="tx1"/>
            </w14:solidFill>
          </w14:textFill>
        </w:rPr>
        <w:t>提前退出</w:t>
      </w:r>
      <w:r>
        <w:rPr>
          <w:rFonts w:hint="eastAsia" w:ascii="宋体" w:hAnsi="宋体" w:eastAsia="宋体"/>
          <w:b/>
          <w:color w:val="000000" w:themeColor="text1"/>
          <w:sz w:val="24"/>
          <w:szCs w:val="24"/>
          <w:lang w:val="en-US" w:eastAsia="zh-CN"/>
          <w14:textFill>
            <w14:solidFill>
              <w14:schemeClr w14:val="tx1"/>
            </w14:solidFill>
          </w14:textFill>
        </w:rPr>
        <w:t>条件</w:t>
      </w:r>
    </w:p>
    <w:p w14:paraId="51FF1EB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bCs/>
          <w:color w:val="000000" w:themeColor="text1"/>
          <w:sz w:val="24"/>
          <w:szCs w:val="24"/>
          <w:lang w:val="en-US" w:eastAsia="zh-CN"/>
          <w14:textFill>
            <w14:solidFill>
              <w14:schemeClr w14:val="tx1"/>
            </w14:solidFill>
          </w14:textFill>
        </w:rPr>
      </w:pPr>
      <w:r>
        <w:rPr>
          <w:rFonts w:hint="eastAsia" w:ascii="宋体" w:hAnsi="宋体" w:eastAsia="宋体"/>
          <w:bCs/>
          <w:color w:val="000000" w:themeColor="text1"/>
          <w:sz w:val="24"/>
          <w:szCs w:val="24"/>
          <w:lang w:val="en-US" w:eastAsia="zh-CN"/>
          <w14:textFill>
            <w14:solidFill>
              <w14:schemeClr w14:val="tx1"/>
            </w14:solidFill>
          </w14:textFill>
        </w:rPr>
        <w:t>2027年12月31日前，华润啤酒总部、各销售事业部、生产中心、控股项目公司在有经理级及基层瘦身任务（计划）的基础上，其瘦身人员（对象）符合在华润工作满8年、距退休年龄不足5年的可申请办理内退。2028年1月1日后不再开放中基层员工内退政策。</w:t>
      </w:r>
    </w:p>
    <w:p w14:paraId="5D6BFCB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bCs/>
          <w:color w:val="000000" w:themeColor="text1"/>
          <w:sz w:val="24"/>
          <w:szCs w:val="24"/>
          <w:lang w:val="en-US" w:eastAsia="zh-CN"/>
          <w14:textFill>
            <w14:solidFill>
              <w14:schemeClr w14:val="tx1"/>
            </w14:solidFill>
          </w14:textFill>
        </w:rPr>
      </w:pPr>
      <w:r>
        <w:rPr>
          <w:rFonts w:hint="eastAsia" w:ascii="宋体" w:hAnsi="宋体" w:eastAsia="宋体"/>
          <w:bCs/>
          <w:color w:val="000000" w:themeColor="text1"/>
          <w:sz w:val="24"/>
          <w:szCs w:val="24"/>
          <w:lang w:val="en-US" w:eastAsia="zh-CN"/>
          <w14:textFill>
            <w14:solidFill>
              <w14:schemeClr w14:val="tx1"/>
            </w14:solidFill>
          </w14:textFill>
        </w:rPr>
        <w:t>各单位经理级及基层员工如执行本内退政策，需报总部人力资源部备案。</w:t>
      </w:r>
    </w:p>
    <w:p w14:paraId="4A0C1336">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宋体" w:hAnsi="宋体" w:eastAsia="宋体"/>
          <w:b/>
          <w:color w:val="000000" w:themeColor="text1"/>
          <w:sz w:val="24"/>
          <w:szCs w:val="24"/>
          <w:lang w:eastAsia="zh-CN"/>
          <w14:textFill>
            <w14:solidFill>
              <w14:schemeClr w14:val="tx1"/>
            </w14:solidFill>
          </w14:textFill>
        </w:rPr>
      </w:pPr>
      <w:r>
        <w:rPr>
          <w:rFonts w:hint="eastAsia" w:ascii="宋体" w:hAnsi="宋体" w:eastAsia="宋体"/>
          <w:b/>
          <w:color w:val="000000" w:themeColor="text1"/>
          <w:sz w:val="24"/>
          <w:szCs w:val="24"/>
          <w:lang w:val="en-US" w:eastAsia="zh-CN"/>
          <w14:textFill>
            <w14:solidFill>
              <w14:schemeClr w14:val="tx1"/>
            </w14:solidFill>
          </w14:textFill>
        </w:rPr>
        <w:t>二、</w:t>
      </w:r>
      <w:r>
        <w:rPr>
          <w:rFonts w:hint="eastAsia" w:ascii="宋体" w:hAnsi="宋体" w:eastAsia="宋体"/>
          <w:b/>
          <w:color w:val="000000" w:themeColor="text1"/>
          <w:sz w:val="24"/>
          <w:szCs w:val="24"/>
          <w14:textFill>
            <w14:solidFill>
              <w14:schemeClr w14:val="tx1"/>
            </w14:solidFill>
          </w14:textFill>
        </w:rPr>
        <w:t>退出待遇</w:t>
      </w:r>
    </w:p>
    <w:p w14:paraId="652440BE">
      <w:pPr>
        <w:adjustRightInd w:val="0"/>
        <w:snapToGrid w:val="0"/>
        <w:spacing w:line="440" w:lineRule="exact"/>
        <w:ind w:firstLine="420" w:firstLineChars="175"/>
        <w:rPr>
          <w:rFonts w:ascii="宋体" w:hAnsi="宋体" w:eastAsia="宋体"/>
          <w:sz w:val="24"/>
          <w:szCs w:val="24"/>
        </w:rPr>
      </w:pPr>
      <w:r>
        <w:rPr>
          <w:rFonts w:hint="eastAsia" w:ascii="宋体" w:hAnsi="宋体" w:eastAsia="宋体" w:cs="Arial"/>
          <w:bCs/>
          <w:sz w:val="24"/>
          <w:szCs w:val="24"/>
        </w:rPr>
        <w:t>由</w:t>
      </w:r>
      <w:r>
        <w:rPr>
          <w:rFonts w:ascii="宋体" w:hAnsi="宋体" w:eastAsia="宋体" w:cs="Arial"/>
          <w:bCs/>
          <w:sz w:val="24"/>
          <w:szCs w:val="24"/>
        </w:rPr>
        <w:t>公司</w:t>
      </w:r>
      <w:r>
        <w:rPr>
          <w:rFonts w:hint="eastAsia" w:ascii="宋体" w:hAnsi="宋体" w:eastAsia="宋体"/>
          <w:sz w:val="24"/>
          <w:szCs w:val="24"/>
        </w:rPr>
        <w:t>支付生活费，</w:t>
      </w:r>
      <w:r>
        <w:rPr>
          <w:rFonts w:hint="eastAsia" w:ascii="宋体" w:hAnsi="宋体" w:eastAsia="宋体" w:cs="Arial"/>
          <w:bCs/>
          <w:sz w:val="24"/>
          <w:szCs w:val="24"/>
        </w:rPr>
        <w:t>每月</w:t>
      </w:r>
      <w:r>
        <w:rPr>
          <w:rFonts w:hint="eastAsia" w:ascii="宋体" w:hAnsi="宋体" w:eastAsia="宋体" w:cs="Arial"/>
          <w:bCs/>
          <w:sz w:val="24"/>
          <w:szCs w:val="24"/>
          <w:lang w:eastAsia="zh-CN"/>
        </w:rPr>
        <w:t>支付</w:t>
      </w:r>
      <w:r>
        <w:rPr>
          <w:rFonts w:hint="eastAsia" w:ascii="宋体" w:hAnsi="宋体" w:eastAsia="宋体" w:cs="Arial"/>
          <w:bCs/>
          <w:sz w:val="24"/>
          <w:szCs w:val="24"/>
        </w:rPr>
        <w:t>标准为签订内退</w:t>
      </w:r>
      <w:r>
        <w:rPr>
          <w:rFonts w:ascii="宋体" w:hAnsi="宋体" w:eastAsia="宋体" w:cs="Arial"/>
          <w:bCs/>
          <w:sz w:val="24"/>
          <w:szCs w:val="24"/>
        </w:rPr>
        <w:t>协议单位所在地</w:t>
      </w:r>
      <w:r>
        <w:rPr>
          <w:rFonts w:hint="eastAsia" w:ascii="宋体" w:hAnsi="宋体" w:eastAsia="宋体" w:cs="Arial"/>
          <w:bCs/>
          <w:sz w:val="24"/>
          <w:szCs w:val="24"/>
        </w:rPr>
        <w:t>最低工资</w:t>
      </w:r>
      <w:r>
        <w:rPr>
          <w:rFonts w:ascii="宋体" w:hAnsi="宋体" w:eastAsia="宋体" w:cs="Arial"/>
          <w:bCs/>
          <w:sz w:val="24"/>
          <w:szCs w:val="24"/>
        </w:rPr>
        <w:t>标准</w:t>
      </w:r>
      <w:r>
        <w:rPr>
          <w:rFonts w:hint="eastAsia" w:ascii="宋体" w:hAnsi="宋体" w:eastAsia="宋体"/>
          <w:sz w:val="24"/>
          <w:szCs w:val="24"/>
        </w:rPr>
        <w:t>，不再享受工资、奖金</w:t>
      </w:r>
      <w:r>
        <w:rPr>
          <w:rFonts w:ascii="宋体" w:hAnsi="宋体" w:eastAsia="宋体"/>
          <w:sz w:val="24"/>
          <w:szCs w:val="24"/>
        </w:rPr>
        <w:t>。</w:t>
      </w:r>
    </w:p>
    <w:p w14:paraId="7F7995B4">
      <w:pPr>
        <w:widowControl w:val="0"/>
        <w:adjustRightInd w:val="0"/>
        <w:snapToGrid w:val="0"/>
        <w:spacing w:line="440" w:lineRule="exact"/>
        <w:ind w:firstLine="420" w:firstLineChars="175"/>
        <w:jc w:val="both"/>
        <w:rPr>
          <w:rFonts w:hint="eastAsia" w:ascii="宋体" w:hAnsi="宋体" w:eastAsia="宋体" w:cs="Arial"/>
          <w:bCs/>
          <w:kern w:val="2"/>
          <w:sz w:val="24"/>
          <w:szCs w:val="24"/>
          <w:lang w:val="en-US" w:eastAsia="zh-CN" w:bidi="ar-SA"/>
        </w:rPr>
      </w:pPr>
      <w:r>
        <w:rPr>
          <w:rFonts w:hint="eastAsia" w:ascii="宋体" w:hAnsi="宋体" w:eastAsia="宋体" w:cs="Arial"/>
          <w:bCs/>
          <w:kern w:val="2"/>
          <w:sz w:val="24"/>
          <w:szCs w:val="24"/>
          <w:lang w:val="en-US" w:eastAsia="zh-CN" w:bidi="ar-SA"/>
        </w:rPr>
        <w:t>可由本人申请调回首次建立劳动关系所在地或申请内退时的社保缴纳地，并在首次建立劳动关系所在地或申请内退时的社保缴纳地履行退出程序。</w:t>
      </w:r>
    </w:p>
    <w:p w14:paraId="78FA1500">
      <w:pPr>
        <w:adjustRightInd w:val="0"/>
        <w:snapToGrid w:val="0"/>
        <w:spacing w:line="440" w:lineRule="exact"/>
        <w:ind w:firstLine="420" w:firstLineChars="175"/>
        <w:rPr>
          <w:rFonts w:hint="eastAsia" w:ascii="宋体" w:hAnsi="宋体" w:eastAsia="宋体" w:cs="Arial"/>
          <w:bCs/>
          <w:sz w:val="24"/>
          <w:szCs w:val="24"/>
          <w:lang w:val="en-US" w:eastAsia="zh-CN"/>
        </w:rPr>
      </w:pPr>
      <w:r>
        <w:rPr>
          <w:rFonts w:hint="eastAsia" w:ascii="宋体" w:hAnsi="宋体" w:eastAsia="宋体" w:cs="Arial"/>
          <w:bCs/>
          <w:sz w:val="24"/>
          <w:szCs w:val="24"/>
        </w:rPr>
        <w:t>公司继续为内退员工缴纳社会保险</w:t>
      </w:r>
      <w:r>
        <w:rPr>
          <w:rFonts w:hint="eastAsia" w:ascii="宋体" w:hAnsi="宋体" w:eastAsia="宋体" w:cs="Arial"/>
          <w:bCs/>
          <w:sz w:val="24"/>
          <w:szCs w:val="24"/>
          <w:lang w:eastAsia="zh-CN"/>
        </w:rPr>
        <w:t>、</w:t>
      </w:r>
      <w:r>
        <w:rPr>
          <w:rFonts w:hint="eastAsia" w:ascii="宋体" w:hAnsi="宋体" w:eastAsia="宋体" w:cs="Arial"/>
          <w:bCs/>
          <w:sz w:val="24"/>
          <w:szCs w:val="24"/>
          <w:lang w:val="en-US" w:eastAsia="zh-CN"/>
        </w:rPr>
        <w:t>公积金、企业年金等福利待遇，具体以《华润啤酒福利管理制度》为准。</w:t>
      </w:r>
    </w:p>
    <w:p w14:paraId="06ECEF61">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default" w:ascii="宋体" w:hAnsi="宋体" w:eastAsia="宋体"/>
          <w:b/>
          <w:color w:val="000000" w:themeColor="text1"/>
          <w:sz w:val="24"/>
          <w:szCs w:val="24"/>
          <w:lang w:val="en-US" w:eastAsia="zh-CN"/>
          <w14:textFill>
            <w14:solidFill>
              <w14:schemeClr w14:val="tx1"/>
            </w14:solidFill>
          </w14:textFill>
        </w:rPr>
      </w:pPr>
      <w:r>
        <w:rPr>
          <w:rFonts w:hint="eastAsia" w:ascii="宋体" w:hAnsi="宋体" w:eastAsia="宋体"/>
          <w:b/>
          <w:color w:val="000000" w:themeColor="text1"/>
          <w:sz w:val="24"/>
          <w:szCs w:val="24"/>
          <w:lang w:val="en-US" w:eastAsia="zh-CN"/>
          <w14:textFill>
            <w14:solidFill>
              <w14:schemeClr w14:val="tx1"/>
            </w14:solidFill>
          </w14:textFill>
        </w:rPr>
        <w:t>///</w:t>
      </w:r>
      <w:bookmarkStart w:id="0" w:name="_GoBack"/>
      <w:bookmarkEnd w:id="0"/>
    </w:p>
    <w:p w14:paraId="121BE448">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宋体" w:hAnsi="宋体" w:eastAsia="宋体"/>
          <w:b/>
          <w:color w:val="000000" w:themeColor="text1"/>
          <w:sz w:val="24"/>
          <w:szCs w:val="24"/>
          <w:lang w:val="en-US" w:eastAsia="zh-CN"/>
          <w14:textFill>
            <w14:solidFill>
              <w14:schemeClr w14:val="tx1"/>
            </w14:solidFill>
          </w14:textFill>
        </w:rPr>
      </w:pPr>
      <w:r>
        <w:rPr>
          <w:rFonts w:hint="eastAsia" w:ascii="宋体" w:hAnsi="宋体" w:eastAsia="宋体"/>
          <w:b/>
          <w:color w:val="000000" w:themeColor="text1"/>
          <w:sz w:val="24"/>
          <w:szCs w:val="24"/>
          <w:lang w:val="en-US" w:eastAsia="zh-CN"/>
          <w14:textFill>
            <w14:solidFill>
              <w14:schemeClr w14:val="tx1"/>
            </w14:solidFill>
          </w14:textFill>
        </w:rPr>
        <w:t>三、其他</w:t>
      </w:r>
    </w:p>
    <w:p w14:paraId="7A19D44C">
      <w:pPr>
        <w:adjustRightInd w:val="0"/>
        <w:snapToGrid w:val="0"/>
        <w:spacing w:line="440" w:lineRule="exact"/>
        <w:ind w:firstLine="420" w:firstLineChars="175"/>
        <w:rPr>
          <w:rFonts w:hint="default" w:ascii="宋体" w:hAnsi="宋体" w:eastAsia="宋体" w:cs="Arial"/>
          <w:bCs/>
          <w:sz w:val="24"/>
          <w:szCs w:val="24"/>
          <w:lang w:val="en-US" w:eastAsia="zh-CN"/>
        </w:rPr>
      </w:pPr>
      <w:r>
        <w:rPr>
          <w:rFonts w:hint="eastAsia" w:ascii="宋体" w:hAnsi="宋体" w:eastAsia="宋体" w:cs="Arial"/>
          <w:bCs/>
          <w:sz w:val="24"/>
          <w:szCs w:val="24"/>
          <w:lang w:val="en-US" w:eastAsia="zh-CN"/>
        </w:rPr>
        <w:t>本通知自下发之日起生效。</w:t>
      </w:r>
    </w:p>
    <w:p w14:paraId="5A6224E7">
      <w:pPr>
        <w:spacing w:line="440" w:lineRule="exact"/>
        <w:jc w:val="both"/>
        <w:rPr>
          <w:rFonts w:ascii="宋体" w:hAnsi="宋体" w:eastAsia="宋体" w:cs="宋体"/>
          <w:b/>
          <w:sz w:val="24"/>
          <w:szCs w:val="24"/>
        </w:rPr>
      </w:pPr>
    </w:p>
    <w:p w14:paraId="4224F5EF">
      <w:pPr>
        <w:spacing w:line="440" w:lineRule="exact"/>
        <w:ind w:left="3685" w:leftChars="1755"/>
        <w:jc w:val="both"/>
        <w:rPr>
          <w:rFonts w:ascii="宋体" w:hAnsi="宋体" w:eastAsia="宋体" w:cs="宋体"/>
          <w:b/>
          <w:sz w:val="24"/>
          <w:szCs w:val="24"/>
        </w:rPr>
      </w:pPr>
    </w:p>
    <w:p w14:paraId="77206519">
      <w:pPr>
        <w:spacing w:line="440" w:lineRule="exact"/>
        <w:ind w:left="3685" w:leftChars="1755"/>
        <w:jc w:val="right"/>
        <w:rPr>
          <w:rFonts w:ascii="宋体" w:hAnsi="宋体" w:eastAsia="宋体" w:cs="宋体"/>
          <w:b/>
          <w:sz w:val="24"/>
          <w:szCs w:val="24"/>
        </w:rPr>
      </w:pPr>
      <w:r>
        <w:rPr>
          <w:rFonts w:hint="eastAsia" w:ascii="宋体" w:hAnsi="宋体" w:eastAsia="宋体" w:cs="宋体"/>
          <w:b/>
          <w:sz w:val="24"/>
          <w:szCs w:val="24"/>
        </w:rPr>
        <w:t>华润啤酒（控股）有限公司</w:t>
      </w:r>
    </w:p>
    <w:p w14:paraId="4837960E">
      <w:pPr>
        <w:spacing w:line="440" w:lineRule="exact"/>
        <w:ind w:left="3685" w:leftChars="1755"/>
        <w:jc w:val="center"/>
        <w:rPr>
          <w:rFonts w:ascii="宋体" w:hAnsi="宋体" w:eastAsia="宋体" w:cs="宋体"/>
          <w:b/>
          <w:sz w:val="24"/>
          <w:szCs w:val="24"/>
        </w:rPr>
      </w:pPr>
      <w:r>
        <w:rPr>
          <w:rFonts w:hint="eastAsia" w:ascii="宋体" w:hAnsi="宋体" w:eastAsia="宋体" w:cs="宋体"/>
          <w:b/>
          <w:sz w:val="24"/>
          <w:szCs w:val="24"/>
        </w:rPr>
        <w:t xml:space="preserve">                         人力资源部</w:t>
      </w:r>
    </w:p>
    <w:p w14:paraId="12072328">
      <w:pPr>
        <w:spacing w:line="440" w:lineRule="exact"/>
        <w:jc w:val="center"/>
        <w:rPr>
          <w:rFonts w:ascii="宋体" w:hAnsi="宋体" w:eastAsia="宋体" w:cs="宋体"/>
          <w:b/>
          <w:bCs/>
          <w:kern w:val="0"/>
          <w:sz w:val="24"/>
          <w:szCs w:val="24"/>
        </w:rPr>
      </w:pPr>
      <w:r>
        <w:rPr>
          <w:rFonts w:hint="eastAsia" w:ascii="宋体" w:hAnsi="宋体" w:eastAsia="宋体" w:cs="宋体"/>
          <w:b/>
          <w:sz w:val="24"/>
          <w:szCs w:val="24"/>
        </w:rPr>
        <w:t xml:space="preserve">                                              二○二</w:t>
      </w:r>
      <w:r>
        <w:rPr>
          <w:rFonts w:hint="eastAsia" w:ascii="宋体" w:hAnsi="宋体" w:eastAsia="宋体" w:cs="宋体"/>
          <w:b/>
          <w:sz w:val="24"/>
          <w:szCs w:val="24"/>
          <w:lang w:val="en-US" w:eastAsia="zh-CN"/>
        </w:rPr>
        <w:t>六</w:t>
      </w:r>
      <w:r>
        <w:rPr>
          <w:rFonts w:hint="eastAsia" w:ascii="宋体" w:hAnsi="宋体" w:eastAsia="宋体" w:cs="宋体"/>
          <w:b/>
          <w:sz w:val="24"/>
          <w:szCs w:val="24"/>
        </w:rPr>
        <w:t>年</w:t>
      </w:r>
      <w:r>
        <w:rPr>
          <w:rFonts w:hint="eastAsia" w:ascii="宋体" w:hAnsi="宋体" w:eastAsia="宋体" w:cs="宋体"/>
          <w:b/>
          <w:sz w:val="24"/>
          <w:szCs w:val="24"/>
          <w:lang w:val="en-US" w:eastAsia="zh-CN"/>
        </w:rPr>
        <w:t>四</w:t>
      </w:r>
      <w:r>
        <w:rPr>
          <w:rFonts w:hint="eastAsia" w:ascii="宋体" w:hAnsi="宋体" w:eastAsia="宋体" w:cs="宋体"/>
          <w:b/>
          <w:sz w:val="24"/>
          <w:szCs w:val="24"/>
        </w:rPr>
        <w:t>月</w:t>
      </w:r>
      <w:r>
        <w:rPr>
          <w:rFonts w:hint="eastAsia" w:ascii="宋体" w:hAnsi="宋体" w:eastAsia="宋体" w:cs="宋体"/>
          <w:b/>
          <w:sz w:val="24"/>
          <w:szCs w:val="24"/>
          <w:lang w:val="en-US" w:eastAsia="zh-CN"/>
        </w:rPr>
        <w:t>二十八</w:t>
      </w:r>
      <w:r>
        <w:rPr>
          <w:rFonts w:hint="eastAsia" w:ascii="宋体" w:hAnsi="宋体" w:eastAsia="宋体" w:cs="宋体"/>
          <w:b/>
          <w:sz w:val="24"/>
          <w:szCs w:val="24"/>
        </w:rPr>
        <w:t>日</w:t>
      </w:r>
    </w:p>
    <w:p w14:paraId="7ABCC56A">
      <w:pPr>
        <w:keepLines w:val="0"/>
        <w:pageBreakBefore w:val="0"/>
        <w:widowControl w:val="0"/>
        <w:kinsoku/>
        <w:overflowPunct/>
        <w:topLinePunct w:val="0"/>
        <w:autoSpaceDE/>
        <w:autoSpaceDN/>
        <w:bidi w:val="0"/>
        <w:adjustRightInd w:val="0"/>
        <w:snapToGrid w:val="0"/>
        <w:spacing w:line="440" w:lineRule="exact"/>
        <w:ind w:firstLine="420" w:firstLineChars="200"/>
        <w:textAlignment w:val="auto"/>
      </w:pPr>
    </w:p>
    <w:p w14:paraId="5B1F026A"/>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86438446"/>
    </w:sdtPr>
    <w:sdtEndPr>
      <w:rPr>
        <w:sz w:val="20"/>
        <w:szCs w:val="20"/>
      </w:rPr>
    </w:sdtEndPr>
    <w:sdtContent>
      <w:p w14:paraId="5D095AD6">
        <w:pPr>
          <w:pStyle w:val="5"/>
          <w:jc w:val="right"/>
        </w:pPr>
      </w:p>
    </w:sdtContent>
  </w:sdt>
  <w:p w14:paraId="272C4DCE">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CF57FC"/>
    <w:rsid w:val="054C794C"/>
    <w:rsid w:val="6ACF5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8">
    <w:name w:val="Title"/>
    <w:basedOn w:val="1"/>
    <w:next w:val="1"/>
    <w:link w:val="17"/>
    <w:qFormat/>
    <w:uiPriority w:val="10"/>
    <w:pPr>
      <w:spacing w:before="240" w:after="60"/>
      <w:jc w:val="center"/>
      <w:outlineLvl w:val="0"/>
    </w:pPr>
    <w:rPr>
      <w:rFonts w:eastAsia="宋体" w:asciiTheme="majorHAnsi" w:hAnsiTheme="majorHAnsi" w:cstheme="majorBidi"/>
      <w:b/>
      <w:bCs/>
      <w:sz w:val="32"/>
      <w:szCs w:val="32"/>
    </w:rPr>
  </w:style>
  <w:style w:type="paragraph" w:styleId="9">
    <w:name w:val="annotation subject"/>
    <w:basedOn w:val="3"/>
    <w:next w:val="3"/>
    <w:semiHidden/>
    <w:unhideWhenUsed/>
    <w:qFormat/>
    <w:uiPriority w:val="99"/>
    <w:rPr>
      <w:b/>
      <w:bCs/>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rFonts w:ascii="Times New Roman" w:hAnsi="Times New Roman" w:eastAsia="宋体" w:cs="Times New Roman"/>
      <w:b/>
    </w:rPr>
  </w:style>
  <w:style w:type="character" w:customStyle="1" w:styleId="14">
    <w:name w:val="页眉 字符"/>
    <w:basedOn w:val="12"/>
    <w:link w:val="6"/>
    <w:qFormat/>
    <w:uiPriority w:val="99"/>
    <w:rPr>
      <w:rFonts w:ascii="Times New Roman" w:hAnsi="Times New Roman" w:eastAsia="宋体" w:cs="Times New Roman"/>
      <w:sz w:val="18"/>
      <w:szCs w:val="18"/>
    </w:rPr>
  </w:style>
  <w:style w:type="character" w:customStyle="1" w:styleId="15">
    <w:name w:val="页脚 字符"/>
    <w:basedOn w:val="12"/>
    <w:link w:val="5"/>
    <w:qFormat/>
    <w:uiPriority w:val="99"/>
    <w:rPr>
      <w:rFonts w:ascii="Times New Roman" w:hAnsi="Times New Roman" w:eastAsia="宋体" w:cs="Times New Roman"/>
      <w:sz w:val="18"/>
      <w:szCs w:val="18"/>
    </w:rPr>
  </w:style>
  <w:style w:type="character" w:customStyle="1" w:styleId="16">
    <w:name w:val="批注框文本 字符"/>
    <w:basedOn w:val="12"/>
    <w:link w:val="4"/>
    <w:semiHidden/>
    <w:qFormat/>
    <w:uiPriority w:val="99"/>
    <w:rPr>
      <w:rFonts w:ascii="Times New Roman" w:hAnsi="Times New Roman" w:eastAsia="宋体" w:cs="Times New Roman"/>
      <w:sz w:val="18"/>
      <w:szCs w:val="18"/>
    </w:rPr>
  </w:style>
  <w:style w:type="character" w:customStyle="1" w:styleId="17">
    <w:name w:val="标题 字符"/>
    <w:basedOn w:val="12"/>
    <w:link w:val="8"/>
    <w:qFormat/>
    <w:uiPriority w:val="10"/>
    <w:rPr>
      <w:rFonts w:eastAsia="宋体" w:asciiTheme="majorHAnsi" w:hAnsiTheme="majorHAnsi" w:cstheme="majorBidi"/>
      <w:b/>
      <w:bCs/>
      <w:sz w:val="32"/>
      <w:szCs w:val="32"/>
    </w:rPr>
  </w:style>
  <w:style w:type="paragraph" w:styleId="18">
    <w:name w:val="List Paragraph"/>
    <w:basedOn w:val="1"/>
    <w:qFormat/>
    <w:uiPriority w:val="34"/>
    <w:pPr>
      <w:ind w:firstLine="420" w:firstLineChars="200"/>
    </w:pPr>
  </w:style>
  <w:style w:type="paragraph" w:styleId="19">
    <w:name w:val="No Spacing"/>
    <w:qFormat/>
    <w:uiPriority w:val="1"/>
    <w:pPr>
      <w:widowControl w:val="0"/>
      <w:jc w:val="both"/>
    </w:pPr>
    <w:rPr>
      <w:rFonts w:asciiTheme="minorHAnsi" w:hAnsiTheme="minorHAnsi" w:eastAsiaTheme="minorEastAsia" w:cstheme="minorBidi"/>
      <w:kern w:val="2"/>
      <w:lang w:val="en-US" w:eastAsia="zh-CN" w:bidi="ar-SA"/>
    </w:rPr>
  </w:style>
  <w:style w:type="character" w:customStyle="1" w:styleId="20">
    <w:name w:val="font11"/>
    <w:basedOn w:val="12"/>
    <w:qFormat/>
    <w:uiPriority w:val="0"/>
    <w:rPr>
      <w:rFonts w:hint="eastAsia" w:ascii="宋体" w:hAnsi="宋体" w:eastAsia="宋体" w:cs="宋体"/>
      <w:color w:val="000000"/>
      <w:sz w:val="20"/>
      <w:szCs w:val="20"/>
      <w:u w:val="none"/>
    </w:rPr>
  </w:style>
  <w:style w:type="character" w:customStyle="1" w:styleId="21">
    <w:name w:val="font21"/>
    <w:basedOn w:val="12"/>
    <w:qFormat/>
    <w:uiPriority w:val="0"/>
    <w:rPr>
      <w:rFonts w:hint="eastAsia" w:ascii="宋体" w:hAnsi="宋体" w:eastAsia="宋体" w:cs="宋体"/>
      <w:color w:val="000000"/>
      <w:sz w:val="20"/>
      <w:szCs w:val="20"/>
      <w:u w: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Office_12.8.2.21215_F1E327BC-269C-435d-A152-05C5408002CA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2026-04-30T02:50:00Z</dcterms:created>
  <dc:creator>咨询组</dc:creator>
  <cp:lastModifiedBy>咨询组</cp:lastModifiedBy>
  <dcterms:modified xsi:type="dcterms:W3CDTF">2026-04-30T02:54:32Z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2052-12.8.2.21215</vt:lpwstr>
  </property>
  <property fmtid="{D5CDD505-2E9C-101B-9397-08002B2CF9AE}" pid="3" name="ICV">
    <vt:lpwstr>515B7E0BE5824E1CA43B89EB109FA97B_11</vt:lpwstr>
  </property>
</Properties>
</file>