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51D1ED">
      <w:pPr>
        <w:bidi w:val="0"/>
        <w:jc w:val="center"/>
        <w:rPr>
          <w:rFonts w:hint="eastAsia"/>
          <w:lang w:val="en-US" w:eastAsia="zh-CN"/>
        </w:rPr>
      </w:pPr>
      <w:r>
        <w:rPr>
          <w:rFonts w:hint="eastAsia"/>
          <w:lang w:val="en-US" w:eastAsia="zh-CN"/>
        </w:rPr>
        <w:t>《华润啤酒员工职业发展管理办法》（华啤B03-55-人力26D）附件3《任职资格标准》</w:t>
      </w:r>
    </w:p>
    <w:p w14:paraId="4DF8ABAA">
      <w:pPr>
        <w:bidi w:val="0"/>
        <w:jc w:val="left"/>
        <w:rPr>
          <w:rFonts w:hint="default"/>
          <w:lang w:val="en-US" w:eastAsia="zh-CN"/>
        </w:rPr>
      </w:pPr>
      <w:bookmarkStart w:id="0" w:name="_GoBack"/>
      <w:r>
        <w:rPr>
          <w:rFonts w:hint="eastAsia"/>
          <w:lang w:val="en-US" w:eastAsia="zh-CN"/>
        </w:rPr>
        <w:t>///</w:t>
      </w:r>
    </w:p>
    <w:bookmarkEnd w:id="0"/>
    <w:p w14:paraId="70F856E4">
      <w:pPr>
        <w:pStyle w:val="22"/>
        <w:widowControl w:val="0"/>
        <w:numPr>
          <w:ilvl w:val="0"/>
          <w:numId w:val="0"/>
        </w:numPr>
        <w:spacing w:after="0" w:line="560" w:lineRule="exact"/>
        <w:ind w:firstLine="643" w:firstLineChars="200"/>
        <w:jc w:val="both"/>
        <w:rPr>
          <w:rFonts w:hint="default" w:ascii="仿宋_GB2312" w:hAnsi="仿宋" w:eastAsia="仿宋_GB2312" w:cs="仿宋"/>
          <w:b w:val="0"/>
          <w:bCs w:val="0"/>
          <w:color w:val="auto"/>
          <w:kern w:val="0"/>
          <w:sz w:val="32"/>
          <w:szCs w:val="32"/>
          <w:lang w:val="en-US" w:eastAsia="zh-CN"/>
        </w:rPr>
      </w:pPr>
      <w:r>
        <w:rPr>
          <w:rFonts w:hint="eastAsia" w:ascii="仿宋_GB2312" w:hAnsi="仿宋" w:eastAsia="仿宋_GB2312" w:cs="仿宋"/>
          <w:b/>
          <w:bCs/>
          <w:color w:val="auto"/>
          <w:kern w:val="0"/>
          <w:sz w:val="32"/>
          <w:szCs w:val="32"/>
          <w:lang w:val="en-US" w:eastAsia="zh-CN"/>
        </w:rPr>
        <w:t>一、除管理类岗位序列外，任职资格框架包括角色定位、基础条件、进阶条件、知识、专业技能和能力素质六部分。</w:t>
      </w:r>
      <w:r>
        <w:rPr>
          <w:rFonts w:hint="eastAsia" w:ascii="仿宋_GB2312" w:hAnsi="仿宋" w:eastAsia="仿宋_GB2312" w:cs="仿宋"/>
          <w:b w:val="0"/>
          <w:bCs w:val="0"/>
          <w:color w:val="auto"/>
          <w:kern w:val="0"/>
          <w:sz w:val="32"/>
          <w:szCs w:val="32"/>
          <w:lang w:val="en-US" w:eastAsia="zh-CN"/>
        </w:rPr>
        <w:t>///</w:t>
      </w:r>
    </w:p>
    <w:p w14:paraId="7D7FB137">
      <w:pPr>
        <w:pStyle w:val="22"/>
        <w:widowControl w:val="0"/>
        <w:numPr>
          <w:ilvl w:val="0"/>
          <w:numId w:val="0"/>
        </w:numPr>
        <w:spacing w:after="0" w:line="560" w:lineRule="exact"/>
        <w:ind w:left="0" w:leftChars="0" w:firstLine="438" w:firstLineChars="137"/>
        <w:jc w:val="left"/>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lang w:eastAsia="zh-CN"/>
        </w:rPr>
        <w:t>角色定位是对角色的概括性描述，以高度凝练的语言展现该角色整体定位。角色定位的描述帮助员工找准在职业发展通道中各个层级所应当承担的角色。</w:t>
      </w:r>
      <w:r>
        <w:rPr>
          <w:rFonts w:hint="eastAsia" w:ascii="仿宋_GB2312" w:hAnsi="仿宋" w:eastAsia="仿宋_GB2312" w:cs="仿宋"/>
          <w:color w:val="000000"/>
          <w:sz w:val="32"/>
          <w:szCs w:val="32"/>
          <w:lang w:val="en-US" w:eastAsia="zh-CN"/>
        </w:rPr>
        <w:t>///</w:t>
      </w:r>
    </w:p>
    <w:p w14:paraId="5E1C3604">
      <w:pPr>
        <w:pStyle w:val="22"/>
        <w:widowControl w:val="0"/>
        <w:numPr>
          <w:ilvl w:val="0"/>
          <w:numId w:val="0"/>
        </w:numPr>
        <w:spacing w:after="0" w:line="560" w:lineRule="exact"/>
        <w:ind w:left="0" w:leftChars="0" w:firstLine="438" w:firstLineChars="137"/>
        <w:jc w:val="both"/>
        <w:rPr>
          <w:rFonts w:hint="eastAsia" w:ascii="仿宋_GB2312" w:hAnsi="仿宋" w:eastAsia="仿宋_GB2312" w:cs="仿宋"/>
          <w:color w:val="auto"/>
          <w:sz w:val="32"/>
          <w:szCs w:val="32"/>
          <w:lang w:eastAsia="zh-CN"/>
        </w:rPr>
      </w:pPr>
      <w:r>
        <w:rPr>
          <w:rFonts w:hint="eastAsia" w:ascii="仿宋_GB2312" w:hAnsi="仿宋" w:eastAsia="仿宋_GB2312" w:cs="仿宋"/>
          <w:color w:val="auto"/>
          <w:kern w:val="0"/>
          <w:sz w:val="32"/>
          <w:szCs w:val="32"/>
          <w:lang w:val="en-US" w:eastAsia="zh-CN" w:bidi="ar-SA"/>
        </w:rPr>
        <w:t>（二）</w:t>
      </w:r>
      <w:r>
        <w:rPr>
          <w:rFonts w:hint="eastAsia" w:ascii="仿宋_GB2312" w:hAnsi="仿宋" w:eastAsia="仿宋_GB2312" w:cs="仿宋"/>
          <w:color w:val="000000"/>
          <w:sz w:val="32"/>
          <w:szCs w:val="32"/>
          <w:lang w:eastAsia="zh-CN"/>
        </w:rPr>
        <w:t>基础条件是根据公司战略及发展要求制定的最低任职要求，原则上全公司范围内统一，包括教育背景、过往绩效、工作年限</w:t>
      </w:r>
      <w:r>
        <w:rPr>
          <w:rFonts w:hint="eastAsia" w:ascii="仿宋_GB2312" w:hAnsi="仿宋" w:eastAsia="仿宋_GB2312" w:cs="仿宋"/>
          <w:color w:val="auto"/>
          <w:sz w:val="32"/>
          <w:szCs w:val="32"/>
          <w:lang w:val="en-US" w:eastAsia="zh-CN"/>
        </w:rPr>
        <w:t>三</w:t>
      </w:r>
      <w:r>
        <w:rPr>
          <w:rFonts w:hint="eastAsia" w:ascii="仿宋_GB2312" w:hAnsi="仿宋" w:eastAsia="仿宋_GB2312" w:cs="仿宋"/>
          <w:color w:val="auto"/>
          <w:sz w:val="32"/>
          <w:szCs w:val="32"/>
          <w:lang w:eastAsia="zh-CN"/>
        </w:rPr>
        <w:t xml:space="preserve">个方面。 </w:t>
      </w:r>
    </w:p>
    <w:p w14:paraId="65477C21">
      <w:pPr>
        <w:pStyle w:val="22"/>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 xml:space="preserve">1.教育背景：指各职级认证需要达到的学历水平、专业类型及语言水平。 </w:t>
      </w:r>
    </w:p>
    <w:p w14:paraId="6B1ED09E">
      <w:pPr>
        <w:pStyle w:val="22"/>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auto"/>
          <w:sz w:val="32"/>
          <w:szCs w:val="32"/>
          <w:lang w:eastAsia="zh-CN"/>
        </w:rPr>
      </w:pPr>
      <w:r>
        <w:rPr>
          <w:rFonts w:hint="eastAsia" w:ascii="仿宋_GB2312" w:hAnsi="仿宋" w:eastAsia="仿宋_GB2312" w:cs="仿宋"/>
          <w:color w:val="auto"/>
          <w:sz w:val="32"/>
          <w:szCs w:val="32"/>
          <w:lang w:eastAsia="zh-CN"/>
        </w:rPr>
        <w:t xml:space="preserve">2.工作年限：指各职级认证需要具备的最低相关工作年限。 </w:t>
      </w:r>
    </w:p>
    <w:p w14:paraId="4C647F22">
      <w:pPr>
        <w:pStyle w:val="22"/>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default" w:ascii="仿宋_GB2312" w:hAnsi="仿宋" w:eastAsia="仿宋_GB2312" w:cs="仿宋"/>
          <w:color w:val="auto"/>
          <w:sz w:val="32"/>
          <w:szCs w:val="32"/>
          <w:lang w:val="en-US" w:eastAsia="zh-CN"/>
        </w:rPr>
      </w:pPr>
      <w:r>
        <w:rPr>
          <w:rFonts w:hint="eastAsia" w:ascii="仿宋_GB2312" w:hAnsi="仿宋" w:eastAsia="仿宋_GB2312" w:cs="仿宋"/>
          <w:color w:val="auto"/>
          <w:sz w:val="32"/>
          <w:szCs w:val="32"/>
          <w:lang w:eastAsia="zh-CN"/>
        </w:rPr>
        <w:t>3.过往绩效：指过往年度个人绩效考核结果中必须达到的门槛要求。</w:t>
      </w:r>
      <w:r>
        <w:rPr>
          <w:rFonts w:hint="eastAsia" w:ascii="仿宋_GB2312" w:hAnsi="仿宋" w:eastAsia="仿宋_GB2312" w:cs="仿宋"/>
          <w:color w:val="auto"/>
          <w:sz w:val="32"/>
          <w:szCs w:val="32"/>
          <w:lang w:val="en-US" w:eastAsia="zh-CN"/>
        </w:rPr>
        <w:t>///</w:t>
      </w:r>
    </w:p>
    <w:p w14:paraId="3EB2C7AE">
      <w:pPr>
        <w:pStyle w:val="22"/>
        <w:widowControl w:val="0"/>
        <w:numPr>
          <w:ilvl w:val="0"/>
          <w:numId w:val="0"/>
        </w:numPr>
        <w:spacing w:after="0" w:line="560" w:lineRule="exact"/>
        <w:ind w:left="0" w:leftChars="0" w:firstLine="438" w:firstLineChars="137"/>
        <w:jc w:val="both"/>
        <w:rPr>
          <w:rFonts w:hint="eastAsia" w:ascii="仿宋_GB2312" w:hAnsi="仿宋" w:eastAsia="仿宋_GB2312" w:cs="仿宋"/>
          <w:color w:val="auto"/>
          <w:sz w:val="32"/>
          <w:szCs w:val="32"/>
          <w:highlight w:val="none"/>
          <w:lang w:eastAsia="zh-CN"/>
        </w:rPr>
      </w:pPr>
      <w:r>
        <w:rPr>
          <w:rFonts w:hint="eastAsia" w:ascii="仿宋_GB2312" w:hAnsi="仿宋" w:eastAsia="仿宋_GB2312" w:cs="仿宋"/>
          <w:color w:val="auto"/>
          <w:kern w:val="0"/>
          <w:sz w:val="32"/>
          <w:szCs w:val="32"/>
          <w:lang w:val="en-US" w:eastAsia="zh-CN" w:bidi="ar-SA"/>
        </w:rPr>
        <w:t>（三）</w:t>
      </w:r>
      <w:r>
        <w:rPr>
          <w:rFonts w:hint="eastAsia" w:ascii="仿宋_GB2312" w:hAnsi="仿宋" w:eastAsia="仿宋_GB2312" w:cs="仿宋"/>
          <w:color w:val="auto"/>
          <w:sz w:val="32"/>
          <w:szCs w:val="32"/>
          <w:highlight w:val="none"/>
          <w:lang w:eastAsia="zh-CN"/>
        </w:rPr>
        <w:t>进阶条件</w:t>
      </w:r>
      <w:r>
        <w:rPr>
          <w:rFonts w:hint="eastAsia" w:ascii="仿宋_GB2312" w:hAnsi="仿宋" w:eastAsia="仿宋_GB2312" w:cs="仿宋"/>
          <w:color w:val="auto"/>
          <w:sz w:val="32"/>
          <w:szCs w:val="32"/>
          <w:highlight w:val="none"/>
          <w:lang w:val="en-US" w:eastAsia="zh-CN"/>
        </w:rPr>
        <w:t>包含职业资质和其他项，可以作为基础条件的补充门槛项，也可以作为加分项设计。</w:t>
      </w:r>
    </w:p>
    <w:p w14:paraId="232E8A35">
      <w:pPr>
        <w:pStyle w:val="22"/>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1.是指在满足基础条件的同时，在专业上取得额外成绩，获得高于本岗位要求的职业资质。职业资质是指与所从事岗位工作相关的执业资格、资格证书、职称等职业认证。</w:t>
      </w:r>
    </w:p>
    <w:p w14:paraId="6D14FC79">
      <w:pPr>
        <w:pStyle w:val="22"/>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2.其他项：</w:t>
      </w:r>
      <w:r>
        <w:rPr>
          <w:rFonts w:hint="default" w:ascii="仿宋_GB2312" w:hAnsi="仿宋" w:eastAsia="仿宋_GB2312" w:cs="仿宋"/>
          <w:color w:val="auto"/>
          <w:sz w:val="32"/>
          <w:szCs w:val="32"/>
          <w:highlight w:val="none"/>
          <w:lang w:val="en-US" w:eastAsia="zh-CN"/>
        </w:rPr>
        <w:t>各级专业委员会根据评定权限</w:t>
      </w:r>
      <w:r>
        <w:rPr>
          <w:rFonts w:hint="eastAsia" w:ascii="仿宋_GB2312" w:hAnsi="仿宋" w:eastAsia="仿宋_GB2312" w:cs="仿宋"/>
          <w:color w:val="auto"/>
          <w:sz w:val="32"/>
          <w:szCs w:val="32"/>
          <w:highlight w:val="none"/>
          <w:lang w:val="en-US" w:eastAsia="zh-CN"/>
        </w:rPr>
        <w:t>，结合业务实际需要，在实施细则或评定方案中另行设置。///</w:t>
      </w:r>
    </w:p>
    <w:p w14:paraId="0657549F">
      <w:pPr>
        <w:pStyle w:val="22"/>
        <w:widowControl w:val="0"/>
        <w:numPr>
          <w:ilvl w:val="0"/>
          <w:numId w:val="0"/>
        </w:numPr>
        <w:spacing w:after="0" w:line="560" w:lineRule="exact"/>
        <w:ind w:left="0" w:leftChars="0" w:firstLine="438" w:firstLineChars="137"/>
        <w:jc w:val="both"/>
        <w:rPr>
          <w:rFonts w:hint="eastAsia" w:ascii="仿宋_GB2312" w:hAnsi="仿宋" w:eastAsia="仿宋_GB2312" w:cs="仿宋"/>
          <w:color w:val="auto"/>
          <w:sz w:val="32"/>
          <w:szCs w:val="32"/>
          <w:lang w:eastAsia="zh-CN"/>
        </w:rPr>
      </w:pPr>
      <w:r>
        <w:rPr>
          <w:rFonts w:hint="eastAsia" w:ascii="仿宋_GB2312" w:hAnsi="仿宋" w:eastAsia="仿宋_GB2312" w:cs="仿宋"/>
          <w:color w:val="auto"/>
          <w:kern w:val="0"/>
          <w:sz w:val="32"/>
          <w:szCs w:val="32"/>
          <w:lang w:val="en-US" w:eastAsia="zh-CN" w:bidi="ar-SA"/>
        </w:rPr>
        <w:t>（四）</w:t>
      </w:r>
      <w:r>
        <w:rPr>
          <w:rFonts w:hint="eastAsia" w:ascii="仿宋_GB2312" w:hAnsi="仿宋" w:eastAsia="仿宋_GB2312" w:cs="仿宋"/>
          <w:color w:val="auto"/>
          <w:sz w:val="32"/>
          <w:szCs w:val="32"/>
          <w:lang w:eastAsia="zh-CN"/>
        </w:rPr>
        <w:t>知识是侧重于掌握的工具、语言、专业方法论，包括专业知识、行业知识、公司知识三个方面。</w:t>
      </w:r>
    </w:p>
    <w:p w14:paraId="5AF4A452">
      <w:pPr>
        <w:pStyle w:val="22"/>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auto"/>
          <w:sz w:val="32"/>
          <w:szCs w:val="32"/>
          <w:lang w:eastAsia="zh-CN"/>
        </w:rPr>
      </w:pPr>
      <w:r>
        <w:rPr>
          <w:rFonts w:hint="eastAsia" w:ascii="仿宋_GB2312" w:hAnsi="仿宋" w:eastAsia="仿宋_GB2312" w:cs="仿宋"/>
          <w:color w:val="auto"/>
          <w:sz w:val="32"/>
          <w:szCs w:val="32"/>
          <w:lang w:eastAsia="zh-CN"/>
        </w:rPr>
        <w:t>1.专业知识：指与本专业的技能形成密切关联的、必须掌握的本专业领域内的知识。</w:t>
      </w:r>
    </w:p>
    <w:p w14:paraId="223E75A4">
      <w:pPr>
        <w:pStyle w:val="22"/>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auto"/>
          <w:sz w:val="32"/>
          <w:szCs w:val="32"/>
          <w:lang w:eastAsia="zh-CN"/>
        </w:rPr>
      </w:pPr>
      <w:r>
        <w:rPr>
          <w:rFonts w:hint="eastAsia" w:ascii="仿宋_GB2312" w:hAnsi="仿宋" w:eastAsia="仿宋_GB2312" w:cs="仿宋"/>
          <w:color w:val="auto"/>
          <w:sz w:val="32"/>
          <w:szCs w:val="32"/>
          <w:lang w:eastAsia="zh-CN"/>
        </w:rPr>
        <w:t>2.行业知识：指所需要掌握的消费品及酒类行业的行业发展趋势、竞争态势、行业规范等相关知识。</w:t>
      </w:r>
    </w:p>
    <w:p w14:paraId="60A68BED">
      <w:pPr>
        <w:pStyle w:val="22"/>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default" w:ascii="仿宋_GB2312" w:hAnsi="仿宋" w:eastAsia="仿宋_GB2312" w:cs="仿宋"/>
          <w:color w:val="auto"/>
          <w:sz w:val="32"/>
          <w:szCs w:val="32"/>
          <w:lang w:val="en-US" w:eastAsia="zh-CN"/>
        </w:rPr>
      </w:pPr>
      <w:r>
        <w:rPr>
          <w:rFonts w:hint="eastAsia" w:ascii="仿宋_GB2312" w:hAnsi="仿宋" w:eastAsia="仿宋_GB2312" w:cs="仿宋"/>
          <w:color w:val="auto"/>
          <w:sz w:val="32"/>
          <w:szCs w:val="32"/>
          <w:lang w:eastAsia="zh-CN"/>
        </w:rPr>
        <w:t>3.公司知识：指所需要掌握的公司战略、产品、制度、流程、规则等通识性知识。</w:t>
      </w:r>
      <w:r>
        <w:rPr>
          <w:rFonts w:hint="eastAsia" w:ascii="仿宋_GB2312" w:hAnsi="仿宋" w:eastAsia="仿宋_GB2312" w:cs="仿宋"/>
          <w:color w:val="auto"/>
          <w:sz w:val="32"/>
          <w:szCs w:val="32"/>
          <w:lang w:val="en-US" w:eastAsia="zh-CN"/>
        </w:rPr>
        <w:t>///</w:t>
      </w:r>
    </w:p>
    <w:p w14:paraId="3288D2A6">
      <w:pPr>
        <w:pStyle w:val="22"/>
        <w:widowControl w:val="0"/>
        <w:numPr>
          <w:ilvl w:val="0"/>
          <w:numId w:val="0"/>
        </w:numPr>
        <w:spacing w:after="0" w:line="560" w:lineRule="exact"/>
        <w:ind w:left="0" w:leftChars="0" w:firstLine="438" w:firstLineChars="137"/>
        <w:jc w:val="both"/>
        <w:rPr>
          <w:rFonts w:hint="default" w:ascii="仿宋_GB2312" w:hAnsi="仿宋" w:eastAsia="仿宋_GB2312" w:cs="仿宋"/>
          <w:color w:val="auto"/>
          <w:sz w:val="32"/>
          <w:szCs w:val="32"/>
          <w:lang w:val="en-US" w:eastAsia="zh-CN"/>
        </w:rPr>
      </w:pPr>
      <w:r>
        <w:rPr>
          <w:rFonts w:hint="eastAsia" w:ascii="仿宋_GB2312" w:hAnsi="仿宋" w:eastAsia="仿宋_GB2312" w:cs="仿宋"/>
          <w:color w:val="auto"/>
          <w:kern w:val="0"/>
          <w:sz w:val="32"/>
          <w:szCs w:val="32"/>
          <w:lang w:val="en-US" w:eastAsia="zh-CN" w:bidi="ar-SA"/>
        </w:rPr>
        <w:t>（五）</w:t>
      </w:r>
      <w:r>
        <w:rPr>
          <w:rFonts w:hint="eastAsia" w:ascii="仿宋_GB2312" w:hAnsi="仿宋" w:eastAsia="仿宋_GB2312" w:cs="仿宋"/>
          <w:color w:val="auto"/>
          <w:sz w:val="32"/>
          <w:szCs w:val="32"/>
          <w:lang w:eastAsia="zh-CN"/>
        </w:rPr>
        <w:t>专业技能：本专业领域中，解决实际问题的专业能力。原则上序列的专业技能项数量范围为4-7项，其中本序列模块间</w:t>
      </w:r>
      <w:r>
        <w:rPr>
          <w:rFonts w:hint="eastAsia" w:ascii="仿宋_GB2312" w:hAnsi="仿宋" w:eastAsia="仿宋_GB2312" w:cs="仿宋"/>
          <w:color w:val="auto"/>
          <w:sz w:val="32"/>
          <w:szCs w:val="32"/>
          <w:lang w:val="en-US" w:eastAsia="zh-CN"/>
        </w:rPr>
        <w:t>专业</w:t>
      </w:r>
      <w:r>
        <w:rPr>
          <w:rFonts w:hint="eastAsia" w:ascii="仿宋_GB2312" w:hAnsi="仿宋" w:eastAsia="仿宋_GB2312" w:cs="仿宋"/>
          <w:color w:val="auto"/>
          <w:sz w:val="32"/>
          <w:szCs w:val="32"/>
          <w:lang w:eastAsia="zh-CN"/>
        </w:rPr>
        <w:t>技能项数差异在2个以内。</w:t>
      </w:r>
      <w:r>
        <w:rPr>
          <w:rFonts w:hint="eastAsia" w:ascii="仿宋_GB2312" w:hAnsi="仿宋" w:eastAsia="仿宋_GB2312" w:cs="仿宋"/>
          <w:color w:val="auto"/>
          <w:sz w:val="32"/>
          <w:szCs w:val="32"/>
          <w:lang w:val="en-US" w:eastAsia="zh-CN"/>
        </w:rPr>
        <w:t>///</w:t>
      </w:r>
    </w:p>
    <w:p w14:paraId="48561566">
      <w:pPr>
        <w:pStyle w:val="22"/>
        <w:widowControl w:val="0"/>
        <w:numPr>
          <w:ilvl w:val="0"/>
          <w:numId w:val="0"/>
        </w:numPr>
        <w:spacing w:after="0" w:line="560" w:lineRule="exact"/>
        <w:ind w:left="0" w:leftChars="0" w:firstLine="438" w:firstLineChars="137"/>
        <w:jc w:val="both"/>
        <w:rPr>
          <w:rFonts w:hint="default" w:ascii="仿宋_GB2312" w:hAnsi="仿宋" w:eastAsia="仿宋_GB2312" w:cs="仿宋"/>
          <w:color w:val="auto"/>
          <w:sz w:val="32"/>
          <w:szCs w:val="32"/>
          <w:lang w:val="en-US" w:eastAsia="zh-CN"/>
        </w:rPr>
      </w:pPr>
      <w:r>
        <w:rPr>
          <w:rFonts w:hint="eastAsia" w:ascii="仿宋_GB2312" w:hAnsi="仿宋" w:eastAsia="仿宋_GB2312" w:cs="仿宋"/>
          <w:color w:val="auto"/>
          <w:kern w:val="0"/>
          <w:sz w:val="32"/>
          <w:szCs w:val="32"/>
          <w:lang w:val="en-US" w:eastAsia="zh-CN" w:bidi="ar-SA"/>
        </w:rPr>
        <w:t>（六）</w:t>
      </w:r>
      <w:r>
        <w:rPr>
          <w:rFonts w:hint="eastAsia" w:ascii="仿宋_GB2312" w:hAnsi="仿宋" w:eastAsia="仿宋_GB2312" w:cs="仿宋"/>
          <w:color w:val="auto"/>
          <w:sz w:val="32"/>
          <w:szCs w:val="32"/>
          <w:lang w:eastAsia="zh-CN"/>
        </w:rPr>
        <w:t>能力素质指体现出各序列差异化的专业能力素质要求，且能够驱动产生优秀工作成果的行为特征。各序列的能力素质项数量范围为3-5项。</w:t>
      </w:r>
      <w:r>
        <w:rPr>
          <w:rFonts w:hint="eastAsia" w:ascii="仿宋_GB2312" w:hAnsi="仿宋" w:eastAsia="仿宋_GB2312" w:cs="仿宋"/>
          <w:color w:val="auto"/>
          <w:sz w:val="32"/>
          <w:szCs w:val="32"/>
          <w:lang w:val="en-US" w:eastAsia="zh-CN"/>
        </w:rPr>
        <w:t>///</w:t>
      </w:r>
    </w:p>
    <w:p w14:paraId="57594514">
      <w:pPr>
        <w:pStyle w:val="22"/>
        <w:widowControl w:val="0"/>
        <w:numPr>
          <w:ilvl w:val="0"/>
          <w:numId w:val="0"/>
        </w:numPr>
        <w:spacing w:after="0" w:line="560" w:lineRule="exact"/>
        <w:ind w:firstLine="643" w:firstLineChars="200"/>
        <w:jc w:val="both"/>
        <w:rPr>
          <w:rFonts w:hint="default" w:ascii="仿宋_GB2312" w:hAnsi="仿宋" w:eastAsia="仿宋_GB2312" w:cs="仿宋"/>
          <w:b w:val="0"/>
          <w:bCs w:val="0"/>
          <w:color w:val="auto"/>
          <w:kern w:val="0"/>
          <w:sz w:val="32"/>
          <w:szCs w:val="32"/>
          <w:lang w:val="en-US" w:eastAsia="zh-CN"/>
        </w:rPr>
      </w:pPr>
      <w:r>
        <w:rPr>
          <w:rFonts w:hint="eastAsia" w:ascii="仿宋_GB2312" w:hAnsi="仿宋" w:eastAsia="仿宋_GB2312" w:cs="仿宋"/>
          <w:b/>
          <w:bCs/>
          <w:color w:val="auto"/>
          <w:kern w:val="0"/>
          <w:sz w:val="32"/>
          <w:szCs w:val="32"/>
          <w:lang w:val="en-US" w:eastAsia="zh-CN"/>
        </w:rPr>
        <w:t>二、各专业委员会负责在任职资格框架下开发、迭代、维护所负责序列具体任职资格标准。</w:t>
      </w:r>
    </w:p>
    <w:p w14:paraId="7B58611C">
      <w:pPr>
        <w:pStyle w:val="46"/>
        <w:keepNext w:val="0"/>
        <w:keepLines w:val="0"/>
        <w:pageBreakBefore w:val="0"/>
        <w:widowControl w:val="0"/>
        <w:kinsoku/>
        <w:wordWrap/>
        <w:overflowPunct/>
        <w:topLinePunct w:val="0"/>
        <w:autoSpaceDE/>
        <w:autoSpaceDN/>
        <w:bidi w:val="0"/>
        <w:adjustRightInd/>
        <w:snapToGrid w:val="0"/>
        <w:ind w:left="0" w:leftChars="0" w:firstLine="640" w:firstLineChars="200"/>
        <w:textAlignment w:val="auto"/>
        <w:outlineLvl w:val="9"/>
        <w:rPr>
          <w:rFonts w:hint="eastAsia" w:ascii="仿宋_GB2312" w:hAnsi="仿宋" w:eastAsia="仿宋_GB2312" w:cs="仿宋"/>
          <w:color w:val="000000"/>
          <w:sz w:val="32"/>
          <w:szCs w:val="32"/>
          <w:lang w:eastAsia="zh-CN"/>
        </w:rPr>
      </w:pPr>
      <w:r>
        <w:rPr>
          <w:rFonts w:hint="eastAsia" w:ascii="仿宋_GB2312" w:hAnsi="仿宋" w:eastAsia="仿宋_GB2312" w:cs="仿宋"/>
          <w:color w:val="000000"/>
          <w:sz w:val="32"/>
          <w:szCs w:val="32"/>
          <w:lang w:eastAsia="zh-CN"/>
        </w:rPr>
        <w:t xml:space="preserve">（一）非管理序列学历要求设定统一最低标准，原则上需满足以下标准： </w:t>
      </w:r>
    </w:p>
    <w:p w14:paraId="47C41837">
      <w:pPr>
        <w:pStyle w:val="22"/>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lang w:eastAsia="zh-CN"/>
        </w:rPr>
      </w:pPr>
      <w:r>
        <w:rPr>
          <w:rFonts w:hint="eastAsia" w:ascii="仿宋_GB2312" w:hAnsi="仿宋" w:eastAsia="仿宋_GB2312" w:cs="仿宋"/>
          <w:color w:val="000000"/>
          <w:sz w:val="32"/>
          <w:szCs w:val="32"/>
          <w:lang w:eastAsia="zh-CN"/>
        </w:rPr>
        <w:t xml:space="preserve">1.专业类岗位序列新招聘员工需满足本科及以上学历。 </w:t>
      </w:r>
    </w:p>
    <w:p w14:paraId="175AA5DE">
      <w:pPr>
        <w:pStyle w:val="22"/>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lang w:eastAsia="zh-CN"/>
        </w:rPr>
      </w:pPr>
      <w:r>
        <w:rPr>
          <w:rFonts w:hint="eastAsia" w:ascii="仿宋_GB2312" w:hAnsi="仿宋" w:eastAsia="仿宋_GB2312" w:cs="仿宋"/>
          <w:color w:val="000000"/>
          <w:sz w:val="32"/>
          <w:szCs w:val="32"/>
          <w:lang w:eastAsia="zh-CN"/>
        </w:rPr>
        <w:t xml:space="preserve">2.业务类岗位序列新招聘员工S1-S3需满足大专及以上学历，S4及以上职级需满足本科及以上学历。在竞争对手或同行业有丰富的相同职位任职经验且属于雪花新业务必须的人才，可放宽至大专。 </w:t>
      </w:r>
    </w:p>
    <w:p w14:paraId="254D5780">
      <w:pPr>
        <w:pStyle w:val="22"/>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lang w:eastAsia="zh-CN"/>
        </w:rPr>
      </w:pPr>
      <w:r>
        <w:rPr>
          <w:rFonts w:hint="eastAsia" w:ascii="仿宋_GB2312" w:hAnsi="仿宋" w:eastAsia="仿宋_GB2312" w:cs="仿宋"/>
          <w:color w:val="000000"/>
          <w:sz w:val="32"/>
          <w:szCs w:val="32"/>
          <w:lang w:eastAsia="zh-CN"/>
        </w:rPr>
        <w:t xml:space="preserve">3.运行类岗位序列新招聘员工O1-O3需满足高中/中专及以上学历，O4及以上职级需满足大专及以上学历。 </w:t>
      </w:r>
    </w:p>
    <w:p w14:paraId="45E3FB6A">
      <w:pPr>
        <w:pStyle w:val="22"/>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lang w:eastAsia="zh-CN"/>
        </w:rPr>
      </w:pPr>
      <w:r>
        <w:rPr>
          <w:rFonts w:hint="eastAsia" w:ascii="仿宋_GB2312" w:hAnsi="仿宋" w:eastAsia="仿宋_GB2312" w:cs="仿宋"/>
          <w:color w:val="000000"/>
          <w:sz w:val="32"/>
          <w:szCs w:val="32"/>
          <w:lang w:eastAsia="zh-CN"/>
        </w:rPr>
        <w:t>4.晋</w:t>
      </w:r>
      <w:r>
        <w:rPr>
          <w:rFonts w:hint="eastAsia" w:ascii="仿宋_GB2312" w:hAnsi="仿宋" w:eastAsia="仿宋_GB2312" w:cs="仿宋"/>
          <w:color w:val="000000"/>
          <w:sz w:val="32"/>
          <w:szCs w:val="32"/>
          <w:lang w:val="en-US" w:eastAsia="zh-CN"/>
        </w:rPr>
        <w:t>级</w:t>
      </w:r>
      <w:r>
        <w:rPr>
          <w:rFonts w:hint="eastAsia" w:ascii="仿宋_GB2312" w:hAnsi="仿宋" w:eastAsia="仿宋_GB2312" w:cs="仿宋"/>
          <w:color w:val="000000"/>
          <w:sz w:val="32"/>
          <w:szCs w:val="32"/>
          <w:lang w:eastAsia="zh-CN"/>
        </w:rPr>
        <w:t>评定中，P1-P3职级学历可放宽为大专，</w:t>
      </w:r>
      <w:r>
        <w:rPr>
          <w:rFonts w:hint="eastAsia" w:ascii="仿宋_GB2312" w:hAnsi="仿宋" w:eastAsia="仿宋_GB2312" w:cs="仿宋"/>
          <w:color w:val="000000"/>
          <w:sz w:val="32"/>
          <w:szCs w:val="32"/>
          <w:highlight w:val="none"/>
          <w:lang w:val="en-US" w:eastAsia="zh-CN"/>
        </w:rPr>
        <w:t>S1-S3 职级学历可放宽为高中/中专，</w:t>
      </w:r>
      <w:r>
        <w:rPr>
          <w:rFonts w:hint="eastAsia" w:ascii="仿宋_GB2312" w:hAnsi="仿宋" w:eastAsia="仿宋_GB2312" w:cs="仿宋"/>
          <w:color w:val="000000"/>
          <w:sz w:val="32"/>
          <w:szCs w:val="32"/>
          <w:lang w:eastAsia="zh-CN"/>
        </w:rPr>
        <w:t xml:space="preserve">O1-O3职级学历可放宽为初中。原则上P4/S4及以上职级均需达到本科学历，O4及以上职级学历需达到大专。特别优秀或因工作特殊需要的人才，P4/S4职级学历可放宽为大专，用人单位应提供充分、详实的特别说明，经上一级专业委员会批准后，可参与评级，并根据最终评定结果定级。 </w:t>
      </w:r>
    </w:p>
    <w:p w14:paraId="3F2FA455">
      <w:pPr>
        <w:pStyle w:val="22"/>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eastAsia="zh-CN"/>
        </w:rPr>
        <w:t>5.各</w:t>
      </w:r>
      <w:r>
        <w:rPr>
          <w:rFonts w:hint="eastAsia" w:ascii="仿宋_GB2312" w:hAnsi="仿宋" w:eastAsia="仿宋_GB2312" w:cs="仿宋"/>
          <w:color w:val="auto"/>
          <w:sz w:val="32"/>
          <w:szCs w:val="32"/>
          <w:lang w:eastAsia="zh-CN"/>
        </w:rPr>
        <w:t>序列可在上述学历要求基础上，根据人才发展特点及业务需要，制订更高要求的学历要求。O序列学历具体标准可按照《员工发展（ED）模块体系文件》执行。</w:t>
      </w:r>
      <w:r>
        <w:rPr>
          <w:rFonts w:hint="eastAsia" w:ascii="仿宋_GB2312" w:hAnsi="仿宋" w:eastAsia="仿宋_GB2312" w:cs="仿宋"/>
          <w:color w:val="auto"/>
          <w:sz w:val="32"/>
          <w:szCs w:val="32"/>
          <w:lang w:val="en-US" w:eastAsia="zh-CN"/>
        </w:rPr>
        <w:t>///</w:t>
      </w:r>
    </w:p>
    <w:p w14:paraId="6A3EBFCD">
      <w:pPr>
        <w:pStyle w:val="46"/>
        <w:keepNext w:val="0"/>
        <w:keepLines w:val="0"/>
        <w:pageBreakBefore w:val="0"/>
        <w:widowControl w:val="0"/>
        <w:kinsoku/>
        <w:wordWrap/>
        <w:overflowPunct/>
        <w:topLinePunct w:val="0"/>
        <w:autoSpaceDE/>
        <w:autoSpaceDN/>
        <w:bidi w:val="0"/>
        <w:adjustRightInd/>
        <w:snapToGrid w:val="0"/>
        <w:ind w:left="0" w:leftChars="0" w:firstLine="640" w:firstLineChars="200"/>
        <w:textAlignment w:val="auto"/>
        <w:outlineLvl w:val="9"/>
        <w:rPr>
          <w:rFonts w:hint="eastAsia" w:ascii="仿宋_GB2312" w:hAnsi="仿宋" w:eastAsia="仿宋_GB2312" w:cs="仿宋"/>
          <w:color w:val="000000"/>
          <w:sz w:val="32"/>
          <w:szCs w:val="32"/>
          <w:lang w:eastAsia="zh-CN"/>
        </w:rPr>
      </w:pPr>
      <w:r>
        <w:rPr>
          <w:rFonts w:hint="eastAsia" w:ascii="仿宋_GB2312" w:hAnsi="仿宋" w:eastAsia="仿宋_GB2312" w:cs="仿宋"/>
          <w:color w:val="000000"/>
          <w:sz w:val="32"/>
          <w:szCs w:val="32"/>
          <w:lang w:eastAsia="zh-CN"/>
        </w:rPr>
        <w:t>（</w:t>
      </w:r>
      <w:r>
        <w:rPr>
          <w:rFonts w:hint="eastAsia" w:ascii="仿宋_GB2312" w:hAnsi="仿宋" w:eastAsia="仿宋_GB2312" w:cs="仿宋"/>
          <w:color w:val="000000"/>
          <w:sz w:val="32"/>
          <w:szCs w:val="32"/>
          <w:lang w:val="en-US" w:eastAsia="zh-CN"/>
        </w:rPr>
        <w:t>二</w:t>
      </w:r>
      <w:r>
        <w:rPr>
          <w:rFonts w:hint="eastAsia" w:ascii="仿宋_GB2312" w:hAnsi="仿宋" w:eastAsia="仿宋_GB2312" w:cs="仿宋"/>
          <w:color w:val="000000"/>
          <w:sz w:val="32"/>
          <w:szCs w:val="32"/>
          <w:lang w:eastAsia="zh-CN"/>
        </w:rPr>
        <w:t>）非管理</w:t>
      </w:r>
      <w:r>
        <w:rPr>
          <w:rFonts w:hint="eastAsia" w:ascii="仿宋_GB2312" w:hAnsi="仿宋" w:eastAsia="仿宋_GB2312" w:cs="仿宋"/>
          <w:color w:val="000000"/>
          <w:sz w:val="32"/>
          <w:szCs w:val="32"/>
          <w:lang w:val="en-US" w:eastAsia="zh-CN"/>
        </w:rPr>
        <w:t>序列</w:t>
      </w:r>
      <w:r>
        <w:rPr>
          <w:rFonts w:hint="eastAsia" w:ascii="仿宋_GB2312" w:hAnsi="仿宋" w:eastAsia="仿宋_GB2312" w:cs="仿宋"/>
          <w:color w:val="000000"/>
          <w:sz w:val="32"/>
          <w:szCs w:val="32"/>
          <w:lang w:eastAsia="zh-CN"/>
        </w:rPr>
        <w:t>职级专业领域工作年限和上一层级工作年限设定统一标准，原则上，各序列各职级工作年限标准如下：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6"/>
        <w:gridCol w:w="1565"/>
        <w:gridCol w:w="1400"/>
        <w:gridCol w:w="4311"/>
      </w:tblGrid>
      <w:tr w14:paraId="130CB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246" w:type="dxa"/>
            <w:vAlign w:val="center"/>
          </w:tcPr>
          <w:p w14:paraId="61EACD3D">
            <w:pPr>
              <w:pStyle w:val="22"/>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专业序列</w:t>
            </w:r>
          </w:p>
        </w:tc>
        <w:tc>
          <w:tcPr>
            <w:tcW w:w="1565" w:type="dxa"/>
            <w:vAlign w:val="center"/>
          </w:tcPr>
          <w:p w14:paraId="6EB5EDA3">
            <w:pPr>
              <w:pStyle w:val="22"/>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业务序列</w:t>
            </w:r>
          </w:p>
        </w:tc>
        <w:tc>
          <w:tcPr>
            <w:tcW w:w="1400" w:type="dxa"/>
            <w:vAlign w:val="center"/>
          </w:tcPr>
          <w:p w14:paraId="18E0BF45">
            <w:pPr>
              <w:pStyle w:val="22"/>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运行序列</w:t>
            </w:r>
          </w:p>
        </w:tc>
        <w:tc>
          <w:tcPr>
            <w:tcW w:w="4311" w:type="dxa"/>
            <w:vAlign w:val="center"/>
          </w:tcPr>
          <w:p w14:paraId="6BD0EB19">
            <w:pPr>
              <w:pStyle w:val="22"/>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工作年限</w:t>
            </w:r>
          </w:p>
        </w:tc>
      </w:tr>
      <w:tr w14:paraId="5BF60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6" w:type="dxa"/>
            <w:vAlign w:val="center"/>
          </w:tcPr>
          <w:p w14:paraId="415F8921">
            <w:pPr>
              <w:pStyle w:val="22"/>
              <w:widowControl w:val="0"/>
              <w:numPr>
                <w:ilvl w:val="0"/>
                <w:numId w:val="0"/>
              </w:numPr>
              <w:spacing w:after="0" w:line="240" w:lineRule="auto"/>
              <w:jc w:val="center"/>
              <w:rPr>
                <w:rFonts w:hint="default" w:ascii="仿宋_GB2312" w:hAnsi="仿宋" w:eastAsia="仿宋_GB2312" w:cs="仿宋"/>
                <w:color w:val="auto"/>
                <w:sz w:val="24"/>
                <w:szCs w:val="24"/>
                <w:vertAlign w:val="baseline"/>
                <w:lang w:val="en-US" w:eastAsia="zh-CN"/>
              </w:rPr>
            </w:pPr>
            <w:r>
              <w:rPr>
                <w:rFonts w:hint="eastAsia" w:ascii="仿宋_GB2312" w:hAnsi="仿宋" w:eastAsia="仿宋_GB2312" w:cs="仿宋"/>
                <w:color w:val="auto"/>
                <w:sz w:val="24"/>
                <w:szCs w:val="24"/>
                <w:vertAlign w:val="baseline"/>
                <w:lang w:val="en-US" w:eastAsia="zh-CN"/>
              </w:rPr>
              <w:t>P9</w:t>
            </w:r>
          </w:p>
        </w:tc>
        <w:tc>
          <w:tcPr>
            <w:tcW w:w="1565" w:type="dxa"/>
            <w:vAlign w:val="center"/>
          </w:tcPr>
          <w:p w14:paraId="6B26DF1F">
            <w:pPr>
              <w:pStyle w:val="22"/>
              <w:widowControl w:val="0"/>
              <w:numPr>
                <w:ilvl w:val="0"/>
                <w:numId w:val="0"/>
              </w:numPr>
              <w:spacing w:after="0" w:line="240" w:lineRule="auto"/>
              <w:jc w:val="center"/>
              <w:rPr>
                <w:rFonts w:hint="eastAsia" w:ascii="仿宋_GB2312" w:hAnsi="仿宋" w:eastAsia="仿宋_GB2312" w:cs="仿宋"/>
                <w:color w:val="auto"/>
                <w:sz w:val="24"/>
                <w:szCs w:val="24"/>
                <w:vertAlign w:val="baseline"/>
                <w:lang w:val="en-US" w:eastAsia="zh-CN"/>
              </w:rPr>
            </w:pPr>
          </w:p>
        </w:tc>
        <w:tc>
          <w:tcPr>
            <w:tcW w:w="1400" w:type="dxa"/>
            <w:vAlign w:val="center"/>
          </w:tcPr>
          <w:p w14:paraId="412DDA0F">
            <w:pPr>
              <w:pStyle w:val="22"/>
              <w:widowControl w:val="0"/>
              <w:numPr>
                <w:ilvl w:val="0"/>
                <w:numId w:val="0"/>
              </w:numPr>
              <w:spacing w:after="0" w:line="240" w:lineRule="auto"/>
              <w:jc w:val="center"/>
              <w:rPr>
                <w:rFonts w:hint="eastAsia" w:ascii="仿宋_GB2312" w:hAnsi="仿宋" w:eastAsia="仿宋_GB2312" w:cs="仿宋"/>
                <w:color w:val="000000"/>
                <w:sz w:val="24"/>
                <w:szCs w:val="24"/>
                <w:vertAlign w:val="baseline"/>
                <w:lang w:val="en-US" w:eastAsia="zh-CN"/>
              </w:rPr>
            </w:pPr>
          </w:p>
        </w:tc>
        <w:tc>
          <w:tcPr>
            <w:tcW w:w="4311" w:type="dxa"/>
            <w:vAlign w:val="center"/>
          </w:tcPr>
          <w:p w14:paraId="0A58F849">
            <w:pPr>
              <w:pStyle w:val="22"/>
              <w:widowControl w:val="0"/>
              <w:numPr>
                <w:ilvl w:val="0"/>
                <w:numId w:val="0"/>
              </w:numPr>
              <w:spacing w:after="0" w:line="240" w:lineRule="auto"/>
              <w:jc w:val="left"/>
              <w:rPr>
                <w:rFonts w:hint="eastAsia" w:ascii="仿宋_GB2312" w:hAnsi="仿宋" w:eastAsia="仿宋_GB2312" w:cs="仿宋"/>
                <w:color w:val="auto"/>
                <w:sz w:val="24"/>
                <w:szCs w:val="24"/>
                <w:highlight w:val="none"/>
                <w:vertAlign w:val="baseline"/>
                <w:lang w:val="en-US" w:eastAsia="zh-CN"/>
              </w:rPr>
            </w:pPr>
            <w:r>
              <w:rPr>
                <w:rFonts w:hint="eastAsia" w:ascii="仿宋_GB2312" w:hAnsi="仿宋" w:eastAsia="仿宋_GB2312" w:cs="仿宋"/>
                <w:color w:val="auto"/>
                <w:sz w:val="24"/>
                <w:szCs w:val="24"/>
                <w:highlight w:val="none"/>
                <w:vertAlign w:val="baseline"/>
                <w:lang w:val="en-US" w:eastAsia="zh-CN"/>
              </w:rPr>
              <w:t>P8层级或同级别职位2年工作经验（在</w:t>
            </w:r>
          </w:p>
          <w:p w14:paraId="3131E745">
            <w:pPr>
              <w:pStyle w:val="22"/>
              <w:widowControl w:val="0"/>
              <w:numPr>
                <w:ilvl w:val="0"/>
                <w:numId w:val="0"/>
              </w:numPr>
              <w:spacing w:after="0" w:line="240" w:lineRule="auto"/>
              <w:jc w:val="left"/>
              <w:rPr>
                <w:rFonts w:hint="eastAsia" w:ascii="仿宋_GB2312" w:hAnsi="仿宋" w:eastAsia="仿宋_GB2312" w:cs="仿宋"/>
                <w:color w:val="auto"/>
                <w:sz w:val="24"/>
                <w:szCs w:val="24"/>
                <w:highlight w:val="none"/>
                <w:vertAlign w:val="baseline"/>
                <w:lang w:val="en-US" w:eastAsia="zh-CN"/>
              </w:rPr>
            </w:pPr>
            <w:r>
              <w:rPr>
                <w:rFonts w:hint="eastAsia" w:ascii="仿宋_GB2312" w:hAnsi="仿宋" w:eastAsia="仿宋_GB2312" w:cs="仿宋"/>
                <w:color w:val="auto"/>
                <w:sz w:val="24"/>
                <w:szCs w:val="24"/>
                <w:highlight w:val="none"/>
                <w:vertAlign w:val="baseline"/>
                <w:lang w:val="en-US" w:eastAsia="zh-CN"/>
              </w:rPr>
              <w:t>职员工晋级使用），或累计5年以上工作经验（外部招聘使用）</w:t>
            </w:r>
          </w:p>
        </w:tc>
      </w:tr>
      <w:tr w14:paraId="4CF8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6" w:type="dxa"/>
            <w:vAlign w:val="center"/>
          </w:tcPr>
          <w:p w14:paraId="22E57A86">
            <w:pPr>
              <w:pStyle w:val="22"/>
              <w:widowControl w:val="0"/>
              <w:numPr>
                <w:ilvl w:val="0"/>
                <w:numId w:val="0"/>
              </w:numPr>
              <w:spacing w:after="0" w:line="240" w:lineRule="auto"/>
              <w:jc w:val="center"/>
              <w:rPr>
                <w:rFonts w:hint="default" w:ascii="仿宋_GB2312" w:hAnsi="仿宋" w:eastAsia="仿宋_GB2312" w:cs="仿宋"/>
                <w:color w:val="auto"/>
                <w:sz w:val="24"/>
                <w:szCs w:val="24"/>
                <w:vertAlign w:val="baseline"/>
                <w:lang w:val="en-US" w:eastAsia="zh-CN"/>
              </w:rPr>
            </w:pPr>
            <w:r>
              <w:rPr>
                <w:rFonts w:hint="eastAsia" w:ascii="仿宋_GB2312" w:hAnsi="仿宋" w:eastAsia="仿宋_GB2312" w:cs="仿宋"/>
                <w:color w:val="auto"/>
                <w:sz w:val="24"/>
                <w:szCs w:val="24"/>
                <w:vertAlign w:val="baseline"/>
                <w:lang w:val="en-US" w:eastAsia="zh-CN"/>
              </w:rPr>
              <w:t>P8</w:t>
            </w:r>
          </w:p>
        </w:tc>
        <w:tc>
          <w:tcPr>
            <w:tcW w:w="1565" w:type="dxa"/>
            <w:vAlign w:val="center"/>
          </w:tcPr>
          <w:p w14:paraId="747D5700">
            <w:pPr>
              <w:pStyle w:val="22"/>
              <w:widowControl w:val="0"/>
              <w:numPr>
                <w:ilvl w:val="0"/>
                <w:numId w:val="0"/>
              </w:numPr>
              <w:spacing w:after="0" w:line="240" w:lineRule="auto"/>
              <w:jc w:val="center"/>
              <w:rPr>
                <w:rFonts w:hint="eastAsia" w:ascii="仿宋_GB2312" w:hAnsi="仿宋" w:eastAsia="仿宋_GB2312" w:cs="仿宋"/>
                <w:color w:val="auto"/>
                <w:sz w:val="24"/>
                <w:szCs w:val="24"/>
                <w:vertAlign w:val="baseline"/>
                <w:lang w:val="en-US" w:eastAsia="zh-CN"/>
              </w:rPr>
            </w:pPr>
          </w:p>
        </w:tc>
        <w:tc>
          <w:tcPr>
            <w:tcW w:w="1400" w:type="dxa"/>
            <w:vAlign w:val="center"/>
          </w:tcPr>
          <w:p w14:paraId="0A1E076E">
            <w:pPr>
              <w:pStyle w:val="22"/>
              <w:widowControl w:val="0"/>
              <w:numPr>
                <w:ilvl w:val="0"/>
                <w:numId w:val="0"/>
              </w:numPr>
              <w:spacing w:after="0" w:line="240" w:lineRule="auto"/>
              <w:jc w:val="center"/>
              <w:rPr>
                <w:rFonts w:hint="eastAsia" w:ascii="仿宋_GB2312" w:hAnsi="仿宋" w:eastAsia="仿宋_GB2312" w:cs="仿宋"/>
                <w:color w:val="000000"/>
                <w:sz w:val="24"/>
                <w:szCs w:val="24"/>
                <w:vertAlign w:val="baseline"/>
                <w:lang w:val="en-US" w:eastAsia="zh-CN"/>
              </w:rPr>
            </w:pPr>
          </w:p>
        </w:tc>
        <w:tc>
          <w:tcPr>
            <w:tcW w:w="4311" w:type="dxa"/>
            <w:vAlign w:val="center"/>
          </w:tcPr>
          <w:p w14:paraId="0174FE7A">
            <w:pPr>
              <w:pStyle w:val="22"/>
              <w:widowControl w:val="0"/>
              <w:numPr>
                <w:ilvl w:val="0"/>
                <w:numId w:val="0"/>
              </w:numPr>
              <w:spacing w:after="0" w:line="240" w:lineRule="auto"/>
              <w:jc w:val="left"/>
              <w:rPr>
                <w:rFonts w:hint="eastAsia" w:ascii="仿宋_GB2312" w:hAnsi="仿宋" w:eastAsia="仿宋_GB2312" w:cs="仿宋"/>
                <w:color w:val="auto"/>
                <w:sz w:val="24"/>
                <w:szCs w:val="24"/>
                <w:highlight w:val="none"/>
                <w:vertAlign w:val="baseline"/>
                <w:lang w:val="en-US" w:eastAsia="zh-CN"/>
              </w:rPr>
            </w:pPr>
            <w:r>
              <w:rPr>
                <w:rFonts w:hint="eastAsia" w:ascii="仿宋_GB2312" w:hAnsi="仿宋" w:eastAsia="仿宋_GB2312" w:cs="仿宋"/>
                <w:color w:val="auto"/>
                <w:sz w:val="24"/>
                <w:szCs w:val="24"/>
                <w:highlight w:val="none"/>
                <w:vertAlign w:val="baseline"/>
                <w:lang w:val="en-US" w:eastAsia="zh-CN"/>
              </w:rPr>
              <w:t>P7层级或同级别职位1年工作经验（在</w:t>
            </w:r>
          </w:p>
          <w:p w14:paraId="00F7BFCC">
            <w:pPr>
              <w:pStyle w:val="22"/>
              <w:widowControl w:val="0"/>
              <w:numPr>
                <w:ilvl w:val="0"/>
                <w:numId w:val="0"/>
              </w:numPr>
              <w:spacing w:after="0" w:line="240" w:lineRule="auto"/>
              <w:jc w:val="left"/>
              <w:rPr>
                <w:rFonts w:hint="eastAsia" w:ascii="仿宋_GB2312" w:hAnsi="仿宋" w:eastAsia="仿宋_GB2312" w:cs="仿宋"/>
                <w:color w:val="auto"/>
                <w:sz w:val="24"/>
                <w:szCs w:val="24"/>
                <w:highlight w:val="none"/>
                <w:vertAlign w:val="baseline"/>
                <w:lang w:val="en-US" w:eastAsia="zh-CN"/>
              </w:rPr>
            </w:pPr>
            <w:r>
              <w:rPr>
                <w:rFonts w:hint="eastAsia" w:ascii="仿宋_GB2312" w:hAnsi="仿宋" w:eastAsia="仿宋_GB2312" w:cs="仿宋"/>
                <w:color w:val="auto"/>
                <w:sz w:val="24"/>
                <w:szCs w:val="24"/>
                <w:highlight w:val="none"/>
                <w:vertAlign w:val="baseline"/>
                <w:lang w:val="en-US" w:eastAsia="zh-CN"/>
              </w:rPr>
              <w:t xml:space="preserve">职员工晋级使用），或累计5年以上工作经验（外部招聘使用） </w:t>
            </w:r>
          </w:p>
        </w:tc>
      </w:tr>
      <w:tr w14:paraId="55269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6" w:type="dxa"/>
            <w:vAlign w:val="center"/>
          </w:tcPr>
          <w:p w14:paraId="03778758">
            <w:pPr>
              <w:pStyle w:val="22"/>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P7</w:t>
            </w:r>
          </w:p>
        </w:tc>
        <w:tc>
          <w:tcPr>
            <w:tcW w:w="1565" w:type="dxa"/>
            <w:vAlign w:val="center"/>
          </w:tcPr>
          <w:p w14:paraId="3F7616D1">
            <w:pPr>
              <w:pStyle w:val="22"/>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p>
        </w:tc>
        <w:tc>
          <w:tcPr>
            <w:tcW w:w="1400" w:type="dxa"/>
            <w:vAlign w:val="center"/>
          </w:tcPr>
          <w:p w14:paraId="00C69949">
            <w:pPr>
              <w:pStyle w:val="22"/>
              <w:widowControl w:val="0"/>
              <w:numPr>
                <w:ilvl w:val="0"/>
                <w:numId w:val="0"/>
              </w:numPr>
              <w:spacing w:after="0" w:line="240" w:lineRule="auto"/>
              <w:jc w:val="left"/>
              <w:rPr>
                <w:rFonts w:hint="eastAsia" w:ascii="仿宋_GB2312" w:hAnsi="仿宋" w:eastAsia="仿宋_GB2312" w:cs="仿宋"/>
                <w:color w:val="000000"/>
                <w:sz w:val="24"/>
                <w:szCs w:val="24"/>
                <w:vertAlign w:val="baseline"/>
                <w:lang w:eastAsia="zh-CN"/>
              </w:rPr>
            </w:pPr>
          </w:p>
        </w:tc>
        <w:tc>
          <w:tcPr>
            <w:tcW w:w="4311" w:type="dxa"/>
            <w:vAlign w:val="center"/>
          </w:tcPr>
          <w:p w14:paraId="063A7F00">
            <w:pPr>
              <w:pStyle w:val="22"/>
              <w:widowControl w:val="0"/>
              <w:numPr>
                <w:ilvl w:val="0"/>
                <w:numId w:val="0"/>
              </w:numPr>
              <w:spacing w:after="0" w:line="240" w:lineRule="auto"/>
              <w:jc w:val="left"/>
              <w:rPr>
                <w:rFonts w:hint="eastAsia" w:ascii="仿宋_GB2312" w:hAnsi="仿宋" w:eastAsia="仿宋_GB2312" w:cs="仿宋"/>
                <w:color w:val="auto"/>
                <w:sz w:val="24"/>
                <w:szCs w:val="24"/>
                <w:highlight w:val="none"/>
                <w:vertAlign w:val="baseline"/>
                <w:lang w:val="en-US" w:eastAsia="zh-CN"/>
              </w:rPr>
            </w:pPr>
            <w:r>
              <w:rPr>
                <w:rFonts w:hint="eastAsia" w:ascii="仿宋_GB2312" w:hAnsi="仿宋" w:eastAsia="仿宋_GB2312" w:cs="仿宋"/>
                <w:color w:val="auto"/>
                <w:sz w:val="24"/>
                <w:szCs w:val="24"/>
                <w:highlight w:val="none"/>
                <w:vertAlign w:val="baseline"/>
                <w:lang w:val="en-US" w:eastAsia="zh-CN"/>
              </w:rPr>
              <w:t>P6层级或同级别职位1年工作经验（在</w:t>
            </w:r>
          </w:p>
          <w:p w14:paraId="79C2786D">
            <w:pPr>
              <w:pStyle w:val="22"/>
              <w:widowControl w:val="0"/>
              <w:numPr>
                <w:ilvl w:val="0"/>
                <w:numId w:val="0"/>
              </w:numPr>
              <w:spacing w:after="0" w:line="240" w:lineRule="auto"/>
              <w:jc w:val="left"/>
              <w:rPr>
                <w:rFonts w:hint="eastAsia" w:ascii="仿宋_GB2312" w:hAnsi="仿宋" w:eastAsia="仿宋_GB2312" w:cs="仿宋"/>
                <w:color w:val="auto"/>
                <w:sz w:val="24"/>
                <w:szCs w:val="24"/>
                <w:highlight w:val="none"/>
                <w:vertAlign w:val="baseline"/>
                <w:lang w:val="en-US" w:eastAsia="zh-CN"/>
              </w:rPr>
            </w:pPr>
            <w:r>
              <w:rPr>
                <w:rFonts w:hint="eastAsia" w:ascii="仿宋_GB2312" w:hAnsi="仿宋" w:eastAsia="仿宋_GB2312" w:cs="仿宋"/>
                <w:color w:val="auto"/>
                <w:sz w:val="24"/>
                <w:szCs w:val="24"/>
                <w:highlight w:val="none"/>
                <w:vertAlign w:val="baseline"/>
                <w:lang w:val="en-US" w:eastAsia="zh-CN"/>
              </w:rPr>
              <w:t xml:space="preserve">职员工晋级使用），或累计5年以上工作经验（外部招聘使用） </w:t>
            </w:r>
          </w:p>
        </w:tc>
      </w:tr>
      <w:tr w14:paraId="75627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6" w:type="dxa"/>
            <w:vAlign w:val="center"/>
          </w:tcPr>
          <w:p w14:paraId="1A395857">
            <w:pPr>
              <w:pStyle w:val="22"/>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P6</w:t>
            </w:r>
          </w:p>
        </w:tc>
        <w:tc>
          <w:tcPr>
            <w:tcW w:w="1565" w:type="dxa"/>
            <w:vAlign w:val="center"/>
          </w:tcPr>
          <w:p w14:paraId="14F7E350">
            <w:pPr>
              <w:pStyle w:val="22"/>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S6</w:t>
            </w:r>
          </w:p>
        </w:tc>
        <w:tc>
          <w:tcPr>
            <w:tcW w:w="1400" w:type="dxa"/>
            <w:vAlign w:val="center"/>
          </w:tcPr>
          <w:p w14:paraId="17D3E8EA">
            <w:pPr>
              <w:pStyle w:val="22"/>
              <w:widowControl w:val="0"/>
              <w:numPr>
                <w:ilvl w:val="0"/>
                <w:numId w:val="0"/>
              </w:numPr>
              <w:spacing w:after="0" w:line="240" w:lineRule="auto"/>
              <w:jc w:val="center"/>
              <w:rPr>
                <w:rFonts w:hint="eastAsia" w:ascii="仿宋_GB2312" w:hAnsi="仿宋" w:eastAsia="仿宋_GB2312" w:cs="仿宋"/>
                <w:color w:val="000000"/>
                <w:sz w:val="24"/>
                <w:szCs w:val="24"/>
                <w:vertAlign w:val="baseline"/>
                <w:lang w:val="en-US" w:eastAsia="zh-CN"/>
              </w:rPr>
            </w:pPr>
          </w:p>
        </w:tc>
        <w:tc>
          <w:tcPr>
            <w:tcW w:w="4311" w:type="dxa"/>
            <w:vAlign w:val="center"/>
          </w:tcPr>
          <w:p w14:paraId="62FF8D5B">
            <w:pPr>
              <w:pStyle w:val="22"/>
              <w:widowControl w:val="0"/>
              <w:numPr>
                <w:ilvl w:val="0"/>
                <w:numId w:val="0"/>
              </w:numPr>
              <w:spacing w:after="0" w:line="240" w:lineRule="auto"/>
              <w:jc w:val="left"/>
              <w:rPr>
                <w:rFonts w:hint="eastAsia" w:ascii="仿宋_GB2312" w:hAnsi="仿宋" w:eastAsia="仿宋_GB2312" w:cs="仿宋"/>
                <w:color w:val="auto"/>
                <w:sz w:val="24"/>
                <w:szCs w:val="24"/>
                <w:highlight w:val="none"/>
                <w:vertAlign w:val="baseline"/>
                <w:lang w:val="en-US" w:eastAsia="zh-CN"/>
              </w:rPr>
            </w:pPr>
            <w:r>
              <w:rPr>
                <w:rFonts w:hint="eastAsia" w:ascii="仿宋_GB2312" w:hAnsi="仿宋" w:eastAsia="仿宋_GB2312" w:cs="仿宋"/>
                <w:color w:val="auto"/>
                <w:sz w:val="24"/>
                <w:szCs w:val="24"/>
                <w:highlight w:val="none"/>
                <w:vertAlign w:val="baseline"/>
                <w:lang w:val="en-US" w:eastAsia="zh-CN"/>
              </w:rPr>
              <w:t>P5层级或同级别职位1年工作经验（在职员工晋级使用），或累计5年以上工作经验（外部招聘使用）</w:t>
            </w:r>
          </w:p>
        </w:tc>
      </w:tr>
      <w:tr w14:paraId="35833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6" w:type="dxa"/>
            <w:vAlign w:val="center"/>
          </w:tcPr>
          <w:p w14:paraId="7A890144">
            <w:pPr>
              <w:pStyle w:val="22"/>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P5</w:t>
            </w:r>
          </w:p>
        </w:tc>
        <w:tc>
          <w:tcPr>
            <w:tcW w:w="1565" w:type="dxa"/>
            <w:vAlign w:val="center"/>
          </w:tcPr>
          <w:p w14:paraId="0FA5F0DA">
            <w:pPr>
              <w:pStyle w:val="22"/>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S5</w:t>
            </w:r>
          </w:p>
        </w:tc>
        <w:tc>
          <w:tcPr>
            <w:tcW w:w="1400" w:type="dxa"/>
            <w:vAlign w:val="center"/>
          </w:tcPr>
          <w:p w14:paraId="55A983D9">
            <w:pPr>
              <w:pStyle w:val="22"/>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O6</w:t>
            </w:r>
          </w:p>
        </w:tc>
        <w:tc>
          <w:tcPr>
            <w:tcW w:w="4311" w:type="dxa"/>
            <w:vAlign w:val="center"/>
          </w:tcPr>
          <w:p w14:paraId="592535D0">
            <w:pPr>
              <w:pStyle w:val="22"/>
              <w:widowControl w:val="0"/>
              <w:numPr>
                <w:ilvl w:val="0"/>
                <w:numId w:val="0"/>
              </w:numPr>
              <w:spacing w:after="0" w:line="240" w:lineRule="auto"/>
              <w:jc w:val="left"/>
              <w:rPr>
                <w:rFonts w:hint="eastAsia" w:ascii="仿宋_GB2312" w:hAnsi="仿宋" w:eastAsia="仿宋_GB2312" w:cs="仿宋"/>
                <w:color w:val="auto"/>
                <w:sz w:val="24"/>
                <w:szCs w:val="24"/>
                <w:vertAlign w:val="baseline"/>
                <w:lang w:val="en-US" w:eastAsia="zh-CN"/>
              </w:rPr>
            </w:pPr>
            <w:r>
              <w:rPr>
                <w:rFonts w:hint="eastAsia" w:ascii="仿宋_GB2312" w:hAnsi="仿宋" w:eastAsia="仿宋_GB2312" w:cs="仿宋"/>
                <w:color w:val="auto"/>
                <w:sz w:val="24"/>
                <w:szCs w:val="24"/>
                <w:vertAlign w:val="baseline"/>
                <w:lang w:val="en-US" w:eastAsia="zh-CN"/>
              </w:rPr>
              <w:t>P4层级或同级别职位1年工作经验（在职员工晋</w:t>
            </w:r>
            <w:r>
              <w:rPr>
                <w:rFonts w:hint="eastAsia" w:ascii="仿宋_GB2312" w:hAnsi="仿宋" w:eastAsia="仿宋_GB2312" w:cs="仿宋"/>
                <w:color w:val="auto"/>
                <w:sz w:val="24"/>
                <w:szCs w:val="24"/>
                <w:highlight w:val="none"/>
                <w:vertAlign w:val="baseline"/>
                <w:lang w:val="en-US" w:eastAsia="zh-CN"/>
              </w:rPr>
              <w:t>级</w:t>
            </w:r>
            <w:r>
              <w:rPr>
                <w:rFonts w:hint="eastAsia" w:ascii="仿宋_GB2312" w:hAnsi="仿宋" w:eastAsia="仿宋_GB2312" w:cs="仿宋"/>
                <w:color w:val="auto"/>
                <w:sz w:val="24"/>
                <w:szCs w:val="24"/>
                <w:vertAlign w:val="baseline"/>
                <w:lang w:val="en-US" w:eastAsia="zh-CN"/>
              </w:rPr>
              <w:t xml:space="preserve">使用），或累计4年以上工作经验（外部招聘使用） </w:t>
            </w:r>
          </w:p>
        </w:tc>
      </w:tr>
      <w:tr w14:paraId="68547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6" w:type="dxa"/>
            <w:vAlign w:val="center"/>
          </w:tcPr>
          <w:p w14:paraId="713B9CF1">
            <w:pPr>
              <w:pStyle w:val="22"/>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P4</w:t>
            </w:r>
          </w:p>
        </w:tc>
        <w:tc>
          <w:tcPr>
            <w:tcW w:w="1565" w:type="dxa"/>
            <w:vAlign w:val="center"/>
          </w:tcPr>
          <w:p w14:paraId="3C5E2B97">
            <w:pPr>
              <w:pStyle w:val="22"/>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S4</w:t>
            </w:r>
          </w:p>
        </w:tc>
        <w:tc>
          <w:tcPr>
            <w:tcW w:w="1400" w:type="dxa"/>
            <w:vAlign w:val="center"/>
          </w:tcPr>
          <w:p w14:paraId="11FC5929">
            <w:pPr>
              <w:pStyle w:val="22"/>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O5</w:t>
            </w:r>
          </w:p>
        </w:tc>
        <w:tc>
          <w:tcPr>
            <w:tcW w:w="4311" w:type="dxa"/>
            <w:vAlign w:val="center"/>
          </w:tcPr>
          <w:p w14:paraId="5E050B2A">
            <w:pPr>
              <w:pStyle w:val="22"/>
              <w:widowControl w:val="0"/>
              <w:numPr>
                <w:ilvl w:val="0"/>
                <w:numId w:val="0"/>
              </w:numPr>
              <w:spacing w:after="0" w:line="240" w:lineRule="auto"/>
              <w:jc w:val="left"/>
              <w:rPr>
                <w:rFonts w:hint="eastAsia" w:ascii="仿宋_GB2312" w:hAnsi="仿宋" w:eastAsia="仿宋_GB2312" w:cs="仿宋"/>
                <w:color w:val="auto"/>
                <w:sz w:val="24"/>
                <w:szCs w:val="24"/>
                <w:vertAlign w:val="baseline"/>
                <w:lang w:val="en-US" w:eastAsia="zh-CN"/>
              </w:rPr>
            </w:pPr>
            <w:r>
              <w:rPr>
                <w:rFonts w:hint="eastAsia" w:ascii="仿宋_GB2312" w:hAnsi="仿宋" w:eastAsia="仿宋_GB2312" w:cs="仿宋"/>
                <w:color w:val="auto"/>
                <w:sz w:val="24"/>
                <w:szCs w:val="24"/>
                <w:vertAlign w:val="baseline"/>
                <w:lang w:val="en-US" w:eastAsia="zh-CN"/>
              </w:rPr>
              <w:t>P3层级或同级别职位1年工作经验（在职员工晋</w:t>
            </w:r>
            <w:r>
              <w:rPr>
                <w:rFonts w:hint="eastAsia" w:ascii="仿宋_GB2312" w:hAnsi="仿宋" w:eastAsia="仿宋_GB2312" w:cs="仿宋"/>
                <w:color w:val="auto"/>
                <w:sz w:val="24"/>
                <w:szCs w:val="24"/>
                <w:highlight w:val="none"/>
                <w:vertAlign w:val="baseline"/>
                <w:lang w:val="en-US" w:eastAsia="zh-CN"/>
              </w:rPr>
              <w:t>级</w:t>
            </w:r>
            <w:r>
              <w:rPr>
                <w:rFonts w:hint="eastAsia" w:ascii="仿宋_GB2312" w:hAnsi="仿宋" w:eastAsia="仿宋_GB2312" w:cs="仿宋"/>
                <w:color w:val="auto"/>
                <w:sz w:val="24"/>
                <w:szCs w:val="24"/>
                <w:vertAlign w:val="baseline"/>
                <w:lang w:val="en-US" w:eastAsia="zh-CN"/>
              </w:rPr>
              <w:t xml:space="preserve">使用），或累计3年以上工作经验（外部招聘使用） </w:t>
            </w:r>
          </w:p>
        </w:tc>
      </w:tr>
      <w:tr w14:paraId="639FD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6" w:type="dxa"/>
            <w:vAlign w:val="center"/>
          </w:tcPr>
          <w:p w14:paraId="3549B3F4">
            <w:pPr>
              <w:pStyle w:val="22"/>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P3</w:t>
            </w:r>
          </w:p>
        </w:tc>
        <w:tc>
          <w:tcPr>
            <w:tcW w:w="1565" w:type="dxa"/>
            <w:vAlign w:val="center"/>
          </w:tcPr>
          <w:p w14:paraId="2C863F64">
            <w:pPr>
              <w:pStyle w:val="22"/>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S3</w:t>
            </w:r>
          </w:p>
        </w:tc>
        <w:tc>
          <w:tcPr>
            <w:tcW w:w="1400" w:type="dxa"/>
            <w:vAlign w:val="center"/>
          </w:tcPr>
          <w:p w14:paraId="02559531">
            <w:pPr>
              <w:pStyle w:val="22"/>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O4</w:t>
            </w:r>
          </w:p>
        </w:tc>
        <w:tc>
          <w:tcPr>
            <w:tcW w:w="4311" w:type="dxa"/>
            <w:vAlign w:val="center"/>
          </w:tcPr>
          <w:p w14:paraId="399FB7EA">
            <w:pPr>
              <w:pStyle w:val="22"/>
              <w:widowControl w:val="0"/>
              <w:numPr>
                <w:ilvl w:val="0"/>
                <w:numId w:val="0"/>
              </w:numPr>
              <w:spacing w:after="0" w:line="240" w:lineRule="auto"/>
              <w:jc w:val="left"/>
              <w:rPr>
                <w:rFonts w:hint="eastAsia"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P2层级或同级别职位1年工作经验（在职员工晋</w:t>
            </w:r>
            <w:r>
              <w:rPr>
                <w:rFonts w:hint="eastAsia" w:ascii="仿宋_GB2312" w:hAnsi="仿宋" w:eastAsia="仿宋_GB2312" w:cs="仿宋"/>
                <w:color w:val="000000"/>
                <w:sz w:val="24"/>
                <w:szCs w:val="24"/>
                <w:highlight w:val="none"/>
                <w:vertAlign w:val="baseline"/>
                <w:lang w:val="en-US" w:eastAsia="zh-CN"/>
              </w:rPr>
              <w:t>级</w:t>
            </w:r>
            <w:r>
              <w:rPr>
                <w:rFonts w:hint="eastAsia" w:ascii="仿宋_GB2312" w:hAnsi="仿宋" w:eastAsia="仿宋_GB2312" w:cs="仿宋"/>
                <w:color w:val="000000"/>
                <w:sz w:val="24"/>
                <w:szCs w:val="24"/>
                <w:vertAlign w:val="baseline"/>
                <w:lang w:val="en-US" w:eastAsia="zh-CN"/>
              </w:rPr>
              <w:t xml:space="preserve">使用），或累计2年以上工作经验（外部招聘使用） </w:t>
            </w:r>
          </w:p>
        </w:tc>
      </w:tr>
      <w:tr w14:paraId="5F2C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6" w:type="dxa"/>
            <w:vAlign w:val="center"/>
          </w:tcPr>
          <w:p w14:paraId="38004374">
            <w:pPr>
              <w:pStyle w:val="22"/>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P2</w:t>
            </w:r>
          </w:p>
        </w:tc>
        <w:tc>
          <w:tcPr>
            <w:tcW w:w="1565" w:type="dxa"/>
            <w:vAlign w:val="center"/>
          </w:tcPr>
          <w:p w14:paraId="4F0344CB">
            <w:pPr>
              <w:pStyle w:val="22"/>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S2</w:t>
            </w:r>
          </w:p>
        </w:tc>
        <w:tc>
          <w:tcPr>
            <w:tcW w:w="1400" w:type="dxa"/>
            <w:vAlign w:val="center"/>
          </w:tcPr>
          <w:p w14:paraId="79D3D4BE">
            <w:pPr>
              <w:pStyle w:val="22"/>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O3</w:t>
            </w:r>
          </w:p>
        </w:tc>
        <w:tc>
          <w:tcPr>
            <w:tcW w:w="4311" w:type="dxa"/>
            <w:vAlign w:val="center"/>
          </w:tcPr>
          <w:p w14:paraId="544D72FE">
            <w:pPr>
              <w:pStyle w:val="22"/>
              <w:widowControl w:val="0"/>
              <w:numPr>
                <w:ilvl w:val="0"/>
                <w:numId w:val="0"/>
              </w:numPr>
              <w:spacing w:after="0" w:line="240" w:lineRule="auto"/>
              <w:jc w:val="left"/>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P1层级或同级别职位1年工作经验（在职员工晋</w:t>
            </w:r>
            <w:r>
              <w:rPr>
                <w:rFonts w:hint="eastAsia" w:ascii="仿宋_GB2312" w:hAnsi="仿宋" w:eastAsia="仿宋_GB2312" w:cs="仿宋"/>
                <w:color w:val="000000"/>
                <w:sz w:val="24"/>
                <w:szCs w:val="24"/>
                <w:highlight w:val="none"/>
                <w:vertAlign w:val="baseline"/>
                <w:lang w:val="en-US" w:eastAsia="zh-CN"/>
              </w:rPr>
              <w:t>级</w:t>
            </w:r>
            <w:r>
              <w:rPr>
                <w:rFonts w:hint="eastAsia" w:ascii="仿宋_GB2312" w:hAnsi="仿宋" w:eastAsia="仿宋_GB2312" w:cs="仿宋"/>
                <w:color w:val="000000"/>
                <w:sz w:val="24"/>
                <w:szCs w:val="24"/>
                <w:vertAlign w:val="baseline"/>
                <w:lang w:val="en-US" w:eastAsia="zh-CN"/>
              </w:rPr>
              <w:t>使用），或累计1年以上工作经验（外部招聘使用）</w:t>
            </w:r>
          </w:p>
        </w:tc>
      </w:tr>
      <w:tr w14:paraId="4B172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6" w:type="dxa"/>
            <w:vAlign w:val="center"/>
          </w:tcPr>
          <w:p w14:paraId="5F5C6898">
            <w:pPr>
              <w:pStyle w:val="22"/>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P1</w:t>
            </w:r>
          </w:p>
        </w:tc>
        <w:tc>
          <w:tcPr>
            <w:tcW w:w="1565" w:type="dxa"/>
            <w:vAlign w:val="center"/>
          </w:tcPr>
          <w:p w14:paraId="43D4A1AC">
            <w:pPr>
              <w:pStyle w:val="22"/>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S1</w:t>
            </w:r>
          </w:p>
        </w:tc>
        <w:tc>
          <w:tcPr>
            <w:tcW w:w="1400" w:type="dxa"/>
            <w:vAlign w:val="center"/>
          </w:tcPr>
          <w:p w14:paraId="6004D66C">
            <w:pPr>
              <w:pStyle w:val="22"/>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O2/O1</w:t>
            </w:r>
          </w:p>
        </w:tc>
        <w:tc>
          <w:tcPr>
            <w:tcW w:w="4311" w:type="dxa"/>
            <w:vAlign w:val="center"/>
          </w:tcPr>
          <w:p w14:paraId="0C0FD6D5">
            <w:pPr>
              <w:pStyle w:val="22"/>
              <w:widowControl w:val="0"/>
              <w:numPr>
                <w:ilvl w:val="0"/>
                <w:numId w:val="0"/>
              </w:numPr>
              <w:spacing w:after="0" w:line="240" w:lineRule="auto"/>
              <w:jc w:val="left"/>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一年以内工作经验</w:t>
            </w:r>
          </w:p>
        </w:tc>
      </w:tr>
    </w:tbl>
    <w:p w14:paraId="73F6207D">
      <w:pPr>
        <w:pStyle w:val="46"/>
        <w:keepNext w:val="0"/>
        <w:keepLines w:val="0"/>
        <w:pageBreakBefore w:val="0"/>
        <w:widowControl w:val="0"/>
        <w:kinsoku/>
        <w:wordWrap/>
        <w:overflowPunct/>
        <w:topLinePunct w:val="0"/>
        <w:autoSpaceDE/>
        <w:autoSpaceDN/>
        <w:bidi w:val="0"/>
        <w:adjustRightInd/>
        <w:snapToGrid w:val="0"/>
        <w:ind w:left="0" w:leftChars="0" w:firstLine="640" w:firstLineChars="200"/>
        <w:textAlignment w:val="auto"/>
        <w:outlineLvl w:val="9"/>
        <w:rPr>
          <w:rFonts w:hint="eastAsia"/>
        </w:rPr>
      </w:pPr>
      <w:r>
        <w:rPr>
          <w:rFonts w:hint="eastAsia"/>
          <w:lang w:val="en-US" w:eastAsia="zh-CN"/>
        </w:rPr>
        <w:t>注：</w:t>
      </w:r>
      <w:r>
        <w:rPr>
          <w:rFonts w:hint="eastAsia"/>
        </w:rPr>
        <w:t xml:space="preserve">S序列学历为本科及以上员工，S1晋级S2层级工作年限可相应缩短半年。 </w:t>
      </w:r>
      <w:r>
        <w:rPr>
          <w:rFonts w:hint="eastAsia"/>
          <w:lang w:val="en-US" w:eastAsia="zh-CN"/>
        </w:rPr>
        <w:t>///</w:t>
      </w:r>
      <w:r>
        <w:rPr>
          <w:rFonts w:hint="eastAsia"/>
        </w:rPr>
        <w:t xml:space="preserve"> </w:t>
      </w:r>
    </w:p>
    <w:p w14:paraId="028FA93B">
      <w:pPr>
        <w:pStyle w:val="22"/>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lang w:eastAsia="zh-CN"/>
        </w:rPr>
      </w:pPr>
      <w:r>
        <w:rPr>
          <w:rFonts w:hint="eastAsia" w:ascii="仿宋_GB2312" w:hAnsi="仿宋" w:eastAsia="仿宋_GB2312" w:cs="仿宋"/>
          <w:color w:val="000000"/>
          <w:sz w:val="32"/>
          <w:szCs w:val="32"/>
          <w:lang w:eastAsia="zh-CN"/>
        </w:rPr>
        <w:t>（三）过往绩效：专业类岗位序列P3及以上过往2年绩效结果均不为D，P2及以下过往1年绩效不为D；运行类O1-O6上年绩效结果不为D；业务类S5</w:t>
      </w:r>
      <w:r>
        <w:rPr>
          <w:rFonts w:hint="eastAsia" w:ascii="仿宋_GB2312" w:hAnsi="仿宋" w:eastAsia="仿宋_GB2312" w:cs="仿宋"/>
          <w:color w:val="000000"/>
          <w:sz w:val="32"/>
          <w:szCs w:val="32"/>
          <w:lang w:val="en-US" w:eastAsia="zh-CN"/>
        </w:rPr>
        <w:t>-</w:t>
      </w:r>
      <w:r>
        <w:rPr>
          <w:rFonts w:hint="eastAsia" w:ascii="仿宋_GB2312" w:hAnsi="仿宋" w:eastAsia="仿宋_GB2312" w:cs="仿宋"/>
          <w:color w:val="000000"/>
          <w:sz w:val="32"/>
          <w:szCs w:val="32"/>
          <w:lang w:eastAsia="zh-CN"/>
        </w:rPr>
        <w:t>S6上年绩效不为B及以下，S3-S4上年绩效不为C及以下，S2上年绩效不为D。</w:t>
      </w:r>
    </w:p>
    <w:p w14:paraId="75FC75C4">
      <w:pPr>
        <w:pStyle w:val="46"/>
        <w:keepNext w:val="0"/>
        <w:keepLines w:val="0"/>
        <w:pageBreakBefore w:val="0"/>
        <w:widowControl w:val="0"/>
        <w:kinsoku/>
        <w:wordWrap/>
        <w:overflowPunct/>
        <w:topLinePunct w:val="0"/>
        <w:autoSpaceDE/>
        <w:autoSpaceDN/>
        <w:bidi w:val="0"/>
        <w:adjustRightInd/>
        <w:snapToGrid w:val="0"/>
        <w:ind w:left="0" w:leftChars="0" w:firstLine="0" w:firstLineChars="0"/>
        <w:textAlignment w:val="auto"/>
        <w:outlineLvl w:val="9"/>
        <w:rPr>
          <w:rFonts w:hint="eastAsia"/>
        </w:rPr>
      </w:pPr>
      <w:r>
        <w:rPr>
          <w:rFonts w:hint="eastAsia"/>
        </w:rPr>
        <w:t xml:space="preserve">以上为职级评定场景下应用过往绩效的最低标准，各序列可在上述绩效要求基础上，根据业务需要，制订更高要求的绩效要求,即采用本序列人才标准中过往绩效的标准。 </w:t>
      </w:r>
    </w:p>
    <w:p w14:paraId="26932857">
      <w:pPr>
        <w:pStyle w:val="46"/>
        <w:keepNext w:val="0"/>
        <w:keepLines w:val="0"/>
        <w:pageBreakBefore w:val="0"/>
        <w:widowControl w:val="0"/>
        <w:kinsoku/>
        <w:wordWrap/>
        <w:overflowPunct/>
        <w:topLinePunct w:val="0"/>
        <w:autoSpaceDE/>
        <w:autoSpaceDN/>
        <w:bidi w:val="0"/>
        <w:adjustRightInd/>
        <w:snapToGrid w:val="0"/>
        <w:ind w:left="0" w:leftChars="0" w:firstLine="640" w:firstLineChars="200"/>
        <w:textAlignment w:val="auto"/>
        <w:outlineLvl w:val="9"/>
        <w:rPr>
          <w:rFonts w:hint="eastAsia"/>
        </w:rPr>
      </w:pPr>
      <w:r>
        <w:rPr>
          <w:rFonts w:hint="eastAsia"/>
        </w:rPr>
        <w:t xml:space="preserve">新员工入职当年无绩效等级或绩效等级为“C”的，可按“B”应用。若因特殊原因，员工无绩效等级的，可由专业委员会自行制定规则，本序列内的规则应保持一致。在职级评定场景下，凡需应用入职当年绩效的，均适用此规则。 </w:t>
      </w:r>
    </w:p>
    <w:p w14:paraId="5AD5B79A">
      <w:pPr>
        <w:pStyle w:val="46"/>
        <w:keepNext w:val="0"/>
        <w:keepLines w:val="0"/>
        <w:pageBreakBefore w:val="0"/>
        <w:widowControl w:val="0"/>
        <w:kinsoku/>
        <w:wordWrap/>
        <w:overflowPunct/>
        <w:topLinePunct w:val="0"/>
        <w:autoSpaceDE/>
        <w:autoSpaceDN/>
        <w:bidi w:val="0"/>
        <w:adjustRightInd/>
        <w:snapToGrid w:val="0"/>
        <w:ind w:left="0" w:leftChars="0" w:firstLine="640" w:firstLineChars="200"/>
        <w:textAlignment w:val="auto"/>
        <w:outlineLvl w:val="9"/>
        <w:rPr>
          <w:rFonts w:hint="default"/>
          <w:color w:val="auto"/>
          <w:highlight w:val="none"/>
          <w:lang w:val="en-US" w:eastAsia="zh-CN"/>
        </w:rPr>
      </w:pPr>
      <w:r>
        <w:rPr>
          <w:rFonts w:hint="eastAsia"/>
          <w:color w:val="auto"/>
          <w:highlight w:val="none"/>
          <w:lang w:val="en-US" w:eastAsia="zh-CN"/>
        </w:rPr>
        <w:t>管理序列转专业/业务序列降级的，涉及绩效复评时，如在管理期间（降级当年）绩效等级为</w:t>
      </w:r>
      <w:r>
        <w:rPr>
          <w:rFonts w:hint="eastAsia"/>
          <w:color w:val="auto"/>
          <w:highlight w:val="none"/>
        </w:rPr>
        <w:t>“C”的，</w:t>
      </w:r>
      <w:r>
        <w:rPr>
          <w:rFonts w:hint="eastAsia"/>
          <w:color w:val="auto"/>
          <w:highlight w:val="none"/>
          <w:lang w:val="en-US" w:eastAsia="zh-CN"/>
        </w:rPr>
        <w:t>在专业/业务序列复评时</w:t>
      </w:r>
      <w:r>
        <w:rPr>
          <w:rFonts w:hint="eastAsia"/>
          <w:highlight w:val="none"/>
        </w:rPr>
        <w:t>按“B”应用</w:t>
      </w:r>
      <w:r>
        <w:rPr>
          <w:rFonts w:hint="eastAsia"/>
          <w:color w:val="auto"/>
          <w:highlight w:val="none"/>
          <w:lang w:val="en-US" w:eastAsia="zh-CN"/>
        </w:rPr>
        <w:t>（例如M2降级至P5</w:t>
      </w:r>
      <w:r>
        <w:rPr>
          <w:rFonts w:hint="eastAsia" w:ascii="仿宋_GB2312" w:hAnsi="仿宋" w:eastAsia="仿宋_GB2312" w:cs="仿宋"/>
          <w:color w:val="auto"/>
          <w:sz w:val="32"/>
          <w:szCs w:val="32"/>
          <w:highlight w:val="none"/>
        </w:rPr>
        <w:t>/S</w:t>
      </w:r>
      <w:r>
        <w:rPr>
          <w:rFonts w:hint="eastAsia" w:hAnsi="仿宋" w:cs="仿宋"/>
          <w:color w:val="auto"/>
          <w:sz w:val="32"/>
          <w:szCs w:val="32"/>
          <w:highlight w:val="none"/>
          <w:lang w:val="en-US" w:eastAsia="zh-CN"/>
        </w:rPr>
        <w:t>5</w:t>
      </w:r>
      <w:r>
        <w:rPr>
          <w:rFonts w:hint="eastAsia"/>
          <w:color w:val="auto"/>
          <w:highlight w:val="none"/>
          <w:lang w:val="en-US" w:eastAsia="zh-CN"/>
        </w:rPr>
        <w:t>当年绩效等级为</w:t>
      </w:r>
      <w:r>
        <w:rPr>
          <w:rFonts w:hint="eastAsia"/>
          <w:color w:val="auto"/>
          <w:highlight w:val="none"/>
        </w:rPr>
        <w:t>“C”的</w:t>
      </w:r>
      <w:r>
        <w:rPr>
          <w:rFonts w:hint="eastAsia"/>
          <w:color w:val="auto"/>
          <w:highlight w:val="none"/>
          <w:lang w:eastAsia="zh-CN"/>
        </w:rPr>
        <w:t>，</w:t>
      </w:r>
      <w:r>
        <w:rPr>
          <w:rFonts w:hint="eastAsia"/>
          <w:color w:val="auto"/>
          <w:highlight w:val="none"/>
          <w:lang w:val="en-US" w:eastAsia="zh-CN"/>
        </w:rPr>
        <w:t>专业/业务岗复评</w:t>
      </w:r>
      <w:r>
        <w:rPr>
          <w:rFonts w:hint="eastAsia"/>
          <w:highlight w:val="none"/>
        </w:rPr>
        <w:t>按“B”应用</w:t>
      </w:r>
      <w:r>
        <w:rPr>
          <w:rFonts w:hint="eastAsia"/>
          <w:color w:val="auto"/>
          <w:highlight w:val="none"/>
          <w:lang w:val="en-US" w:eastAsia="zh-CN"/>
        </w:rPr>
        <w:t>）。///</w:t>
      </w:r>
    </w:p>
    <w:p w14:paraId="153AF55C">
      <w:pPr>
        <w:pStyle w:val="22"/>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eastAsia="zh-CN"/>
        </w:rPr>
        <w:t>（四）各岗位序列应结合业务需要及本专业实际，开发具体的进阶条件、知识、</w:t>
      </w:r>
      <w:r>
        <w:rPr>
          <w:rFonts w:hint="eastAsia" w:ascii="仿宋_GB2312" w:hAnsi="仿宋" w:eastAsia="仿宋_GB2312" w:cs="仿宋"/>
          <w:color w:val="000000"/>
          <w:sz w:val="32"/>
          <w:szCs w:val="32"/>
          <w:lang w:val="en-US" w:eastAsia="zh-CN"/>
        </w:rPr>
        <w:t>专业</w:t>
      </w:r>
      <w:r>
        <w:rPr>
          <w:rFonts w:hint="eastAsia" w:ascii="仿宋_GB2312" w:hAnsi="仿宋" w:eastAsia="仿宋_GB2312" w:cs="仿宋"/>
          <w:color w:val="000000"/>
          <w:sz w:val="32"/>
          <w:szCs w:val="32"/>
          <w:lang w:eastAsia="zh-CN"/>
        </w:rPr>
        <w:t>技能、能力素质，以及基础条件教育背景中专业类型和语言水平的任职资格标准。</w:t>
      </w:r>
      <w:r>
        <w:rPr>
          <w:rFonts w:hint="eastAsia" w:ascii="仿宋_GB2312" w:hAnsi="仿宋" w:eastAsia="仿宋_GB2312" w:cs="仿宋"/>
          <w:color w:val="000000"/>
          <w:sz w:val="32"/>
          <w:szCs w:val="32"/>
          <w:lang w:val="en-US" w:eastAsia="zh-CN"/>
        </w:rPr>
        <w:t>///</w:t>
      </w:r>
    </w:p>
    <w:p w14:paraId="330D0AEF">
      <w:pPr>
        <w:pStyle w:val="22"/>
        <w:widowControl w:val="0"/>
        <w:numPr>
          <w:ilvl w:val="0"/>
          <w:numId w:val="0"/>
        </w:numPr>
        <w:spacing w:after="0" w:line="560" w:lineRule="exact"/>
        <w:jc w:val="both"/>
        <w:rPr>
          <w:rFonts w:hint="default" w:ascii="仿宋_GB2312" w:hAnsi="仿宋" w:eastAsia="仿宋_GB2312" w:cs="仿宋"/>
          <w:color w:val="000000"/>
          <w:sz w:val="32"/>
          <w:szCs w:val="32"/>
          <w:highlight w:val="none"/>
          <w:lang w:val="en-US" w:eastAsia="zh-CN"/>
        </w:rPr>
      </w:pPr>
    </w:p>
    <w:p w14:paraId="5D4CA292">
      <w:pPr>
        <w:spacing w:after="0" w:line="560" w:lineRule="exact"/>
        <w:rPr>
          <w:rFonts w:ascii="仿宋_GB2312" w:hAnsi="仿宋" w:eastAsia="仿宋_GB2312" w:cs="仿宋"/>
          <w:sz w:val="32"/>
          <w:szCs w:val="32"/>
        </w:rPr>
      </w:pPr>
    </w:p>
    <w:sectPr>
      <w:headerReference r:id="rId5" w:type="default"/>
      <w:footerReference r:id="rId6" w:type="default"/>
      <w:pgSz w:w="11906" w:h="16838"/>
      <w:pgMar w:top="1440" w:right="1800" w:bottom="1440" w:left="1800" w:header="992" w:footer="567"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Georgia">
    <w:panose1 w:val="02040502050405020303"/>
    <w:charset w:val="00"/>
    <w:family w:val="roman"/>
    <w:pitch w:val="default"/>
    <w:sig w:usb0="00000287" w:usb1="00000000" w:usb2="00000000" w:usb3="00000000" w:csb0="200000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MicrosoftYaHei-Bold">
    <w:altName w:val="Times New Roman"/>
    <w:panose1 w:val="00000000000000000000"/>
    <w:charset w:val="00"/>
    <w:family w:val="roman"/>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48286556"/>
      <w:docPartObj>
        <w:docPartGallery w:val="autotext"/>
      </w:docPartObj>
    </w:sdtPr>
    <w:sdtContent>
      <w:p w14:paraId="326B26CD">
        <w:pPr>
          <w:pStyle w:val="7"/>
          <w:jc w:val="center"/>
        </w:pPr>
        <w:r>
          <w:rPr>
            <w:rFonts w:ascii="仿宋" w:hAnsi="仿宋" w:eastAsia="仿宋"/>
          </w:rPr>
          <w:fldChar w:fldCharType="begin"/>
        </w:r>
        <w:r>
          <w:rPr>
            <w:rFonts w:ascii="仿宋" w:hAnsi="仿宋" w:eastAsia="仿宋"/>
          </w:rPr>
          <w:instrText xml:space="preserve">PAGE   \* MERGEFORMAT</w:instrText>
        </w:r>
        <w:r>
          <w:rPr>
            <w:rFonts w:ascii="仿宋" w:hAnsi="仿宋" w:eastAsia="仿宋"/>
          </w:rPr>
          <w:fldChar w:fldCharType="separate"/>
        </w:r>
        <w:r>
          <w:rPr>
            <w:rFonts w:ascii="仿宋" w:hAnsi="仿宋" w:eastAsia="仿宋"/>
            <w:lang w:val="zh-CN"/>
          </w:rPr>
          <w:t>8</w:t>
        </w:r>
        <w:r>
          <w:rPr>
            <w:rFonts w:ascii="仿宋" w:hAnsi="仿宋" w:eastAsia="仿宋"/>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B7D61">
    <w:pPr>
      <w:pStyle w:val="8"/>
      <w:pBdr>
        <w:bottom w:val="none" w:color="auto" w:sz="0" w:space="1"/>
      </w:pBdr>
      <w:ind w:right="18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9F77DB"/>
    <w:multiLevelType w:val="multilevel"/>
    <w:tmpl w:val="1A9F77DB"/>
    <w:lvl w:ilvl="0" w:tentative="0">
      <w:start w:val="1"/>
      <w:numFmt w:val="japaneseCounting"/>
      <w:pStyle w:val="28"/>
      <w:lvlText w:val="第%1章"/>
      <w:lvlJc w:val="left"/>
      <w:pPr>
        <w:ind w:left="1080" w:hanging="1080"/>
      </w:pPr>
      <w:rPr>
        <w:rFonts w:hint="eastAsia" w:ascii="黑体" w:hAnsi="黑体" w:eastAsia="黑体"/>
        <w:b w:val="0"/>
        <w:sz w:val="32"/>
        <w:szCs w:val="32"/>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FC91163"/>
    <w:multiLevelType w:val="multilevel"/>
    <w:tmpl w:val="1FC91163"/>
    <w:lvl w:ilvl="0" w:tentative="0">
      <w:start w:val="1"/>
      <w:numFmt w:val="decimal"/>
      <w:pStyle w:val="36"/>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35"/>
      <w:suff w:val="nothing"/>
      <w:lvlText w:val="%1.%2　"/>
      <w:lvlJc w:val="left"/>
      <w:pPr>
        <w:ind w:left="0" w:firstLine="0"/>
      </w:pPr>
      <w:rPr>
        <w:rFonts w:hint="eastAsia" w:ascii="黑体" w:hAnsi="Times New Roman" w:eastAsia="黑体" w:cs="Times New Roman"/>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tentative="0">
      <w:start w:val="1"/>
      <w:numFmt w:val="decimal"/>
      <w:pStyle w:val="37"/>
      <w:suff w:val="nothing"/>
      <w:lvlText w:val="%1.%2.%3　"/>
      <w:lvlJc w:val="left"/>
      <w:pPr>
        <w:ind w:left="0" w:firstLine="0"/>
      </w:pPr>
      <w:rPr>
        <w:rFonts w:hint="eastAsia" w:ascii="黑体" w:hAnsi="Times New Roman" w:eastAsia="黑体"/>
        <w:b w:val="0"/>
        <w:i w:val="0"/>
        <w:sz w:val="21"/>
      </w:rPr>
    </w:lvl>
    <w:lvl w:ilvl="3" w:tentative="0">
      <w:start w:val="1"/>
      <w:numFmt w:val="decimal"/>
      <w:pStyle w:val="40"/>
      <w:suff w:val="nothing"/>
      <w:lvlText w:val="%1.%2.%3.%4　"/>
      <w:lvlJc w:val="left"/>
      <w:pPr>
        <w:ind w:left="0" w:firstLine="0"/>
      </w:pPr>
      <w:rPr>
        <w:rFonts w:hint="eastAsia" w:ascii="黑体" w:hAnsi="Times New Roman" w:eastAsia="黑体"/>
        <w:b w:val="0"/>
        <w:i w:val="0"/>
        <w:sz w:val="21"/>
      </w:rPr>
    </w:lvl>
    <w:lvl w:ilvl="4" w:tentative="0">
      <w:start w:val="1"/>
      <w:numFmt w:val="decimal"/>
      <w:pStyle w:val="41"/>
      <w:suff w:val="nothing"/>
      <w:lvlText w:val="%1.%2.%3.%4.%5　"/>
      <w:lvlJc w:val="left"/>
      <w:pPr>
        <w:ind w:left="0" w:firstLine="0"/>
      </w:pPr>
      <w:rPr>
        <w:rFonts w:hint="eastAsia" w:ascii="黑体" w:hAnsi="Times New Roman" w:eastAsia="黑体"/>
        <w:b w:val="0"/>
        <w:i w:val="0"/>
        <w:sz w:val="21"/>
      </w:rPr>
    </w:lvl>
    <w:lvl w:ilvl="5" w:tentative="0">
      <w:start w:val="1"/>
      <w:numFmt w:val="decimal"/>
      <w:pStyle w:val="42"/>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
    <w:nsid w:val="2C5917C3"/>
    <w:multiLevelType w:val="multilevel"/>
    <w:tmpl w:val="2C5917C3"/>
    <w:lvl w:ilvl="0" w:tentative="0">
      <w:start w:val="1"/>
      <w:numFmt w:val="none"/>
      <w:pStyle w:val="38"/>
      <w:suff w:val="nothing"/>
      <w:lvlText w:val="%1——"/>
      <w:lvlJc w:val="left"/>
      <w:pPr>
        <w:ind w:left="833" w:hanging="408"/>
      </w:pPr>
      <w:rPr>
        <w:rFonts w:hint="eastAsia"/>
      </w:rPr>
    </w:lvl>
    <w:lvl w:ilvl="1" w:tentative="0">
      <w:start w:val="1"/>
      <w:numFmt w:val="bullet"/>
      <w:pStyle w:val="39"/>
      <w:lvlText w:val=""/>
      <w:lvlJc w:val="left"/>
      <w:pPr>
        <w:tabs>
          <w:tab w:val="left" w:pos="760"/>
        </w:tabs>
        <w:ind w:left="1264" w:hanging="413"/>
      </w:pPr>
      <w:rPr>
        <w:rFonts w:hint="default" w:ascii="Symbol" w:hAnsi="Symbol"/>
        <w:color w:val="auto"/>
      </w:rPr>
    </w:lvl>
    <w:lvl w:ilvl="2" w:tentative="0">
      <w:start w:val="1"/>
      <w:numFmt w:val="bullet"/>
      <w:pStyle w:val="43"/>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2"/>
  <w:bordersDoNotSurroundHeader w:val="1"/>
  <w:bordersDoNotSurroundFooter w:val="1"/>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DDF"/>
    <w:rsid w:val="00000F41"/>
    <w:rsid w:val="000033BB"/>
    <w:rsid w:val="00005DB0"/>
    <w:rsid w:val="00007CCB"/>
    <w:rsid w:val="000105FD"/>
    <w:rsid w:val="00011072"/>
    <w:rsid w:val="0001206E"/>
    <w:rsid w:val="00020E6F"/>
    <w:rsid w:val="000211FF"/>
    <w:rsid w:val="00022600"/>
    <w:rsid w:val="00030275"/>
    <w:rsid w:val="000304F8"/>
    <w:rsid w:val="000305FE"/>
    <w:rsid w:val="00030B6D"/>
    <w:rsid w:val="00031F4C"/>
    <w:rsid w:val="000323EE"/>
    <w:rsid w:val="000358C4"/>
    <w:rsid w:val="00036A53"/>
    <w:rsid w:val="0005090C"/>
    <w:rsid w:val="00052670"/>
    <w:rsid w:val="0005316A"/>
    <w:rsid w:val="00061468"/>
    <w:rsid w:val="00061DF5"/>
    <w:rsid w:val="00064CC9"/>
    <w:rsid w:val="00066F52"/>
    <w:rsid w:val="00067113"/>
    <w:rsid w:val="000678E6"/>
    <w:rsid w:val="00070732"/>
    <w:rsid w:val="00071A58"/>
    <w:rsid w:val="00072459"/>
    <w:rsid w:val="000724E8"/>
    <w:rsid w:val="000734F3"/>
    <w:rsid w:val="00073646"/>
    <w:rsid w:val="0007529C"/>
    <w:rsid w:val="00076190"/>
    <w:rsid w:val="0007687C"/>
    <w:rsid w:val="00077798"/>
    <w:rsid w:val="00080FF2"/>
    <w:rsid w:val="00081BE8"/>
    <w:rsid w:val="00081F41"/>
    <w:rsid w:val="000837FE"/>
    <w:rsid w:val="00090336"/>
    <w:rsid w:val="00090CEC"/>
    <w:rsid w:val="00093EBA"/>
    <w:rsid w:val="000945B0"/>
    <w:rsid w:val="00096101"/>
    <w:rsid w:val="000A055B"/>
    <w:rsid w:val="000A0F1F"/>
    <w:rsid w:val="000A31C9"/>
    <w:rsid w:val="000A3A83"/>
    <w:rsid w:val="000A49C4"/>
    <w:rsid w:val="000A7DED"/>
    <w:rsid w:val="000B2863"/>
    <w:rsid w:val="000C03B5"/>
    <w:rsid w:val="000C1684"/>
    <w:rsid w:val="000C4EC6"/>
    <w:rsid w:val="000C66B0"/>
    <w:rsid w:val="000C7C18"/>
    <w:rsid w:val="000D0399"/>
    <w:rsid w:val="000D7A57"/>
    <w:rsid w:val="000E22E4"/>
    <w:rsid w:val="000E2A52"/>
    <w:rsid w:val="000E4F85"/>
    <w:rsid w:val="000E7AF4"/>
    <w:rsid w:val="000F0EFC"/>
    <w:rsid w:val="000F287D"/>
    <w:rsid w:val="000F28EC"/>
    <w:rsid w:val="000F426A"/>
    <w:rsid w:val="000F45B1"/>
    <w:rsid w:val="000F5D32"/>
    <w:rsid w:val="00104C8A"/>
    <w:rsid w:val="00105D41"/>
    <w:rsid w:val="00107707"/>
    <w:rsid w:val="0011079C"/>
    <w:rsid w:val="0011111D"/>
    <w:rsid w:val="00112828"/>
    <w:rsid w:val="00113599"/>
    <w:rsid w:val="001135CC"/>
    <w:rsid w:val="00113B0D"/>
    <w:rsid w:val="00113C3F"/>
    <w:rsid w:val="001172C0"/>
    <w:rsid w:val="001206AC"/>
    <w:rsid w:val="00125D75"/>
    <w:rsid w:val="00126CED"/>
    <w:rsid w:val="001325FE"/>
    <w:rsid w:val="00133E4C"/>
    <w:rsid w:val="00134374"/>
    <w:rsid w:val="0013790E"/>
    <w:rsid w:val="0014185A"/>
    <w:rsid w:val="00141DF4"/>
    <w:rsid w:val="00142B37"/>
    <w:rsid w:val="00142FB7"/>
    <w:rsid w:val="001433FE"/>
    <w:rsid w:val="00143D5E"/>
    <w:rsid w:val="0014602E"/>
    <w:rsid w:val="00146121"/>
    <w:rsid w:val="00146A92"/>
    <w:rsid w:val="00147555"/>
    <w:rsid w:val="00151C1C"/>
    <w:rsid w:val="0015603D"/>
    <w:rsid w:val="00160743"/>
    <w:rsid w:val="00161981"/>
    <w:rsid w:val="00161DA6"/>
    <w:rsid w:val="00162E4A"/>
    <w:rsid w:val="00163472"/>
    <w:rsid w:val="001642E8"/>
    <w:rsid w:val="00164767"/>
    <w:rsid w:val="00166D88"/>
    <w:rsid w:val="001711BC"/>
    <w:rsid w:val="001721DE"/>
    <w:rsid w:val="001748C7"/>
    <w:rsid w:val="0017697C"/>
    <w:rsid w:val="0018186A"/>
    <w:rsid w:val="00182955"/>
    <w:rsid w:val="001841C7"/>
    <w:rsid w:val="00187AB3"/>
    <w:rsid w:val="00187D3A"/>
    <w:rsid w:val="0019290E"/>
    <w:rsid w:val="0019567D"/>
    <w:rsid w:val="00196C56"/>
    <w:rsid w:val="00196CBA"/>
    <w:rsid w:val="001A3A49"/>
    <w:rsid w:val="001A3E90"/>
    <w:rsid w:val="001B0026"/>
    <w:rsid w:val="001B123B"/>
    <w:rsid w:val="001B28DB"/>
    <w:rsid w:val="001B3866"/>
    <w:rsid w:val="001B75B2"/>
    <w:rsid w:val="001B7AFC"/>
    <w:rsid w:val="001C2C1C"/>
    <w:rsid w:val="001C30B1"/>
    <w:rsid w:val="001C44D9"/>
    <w:rsid w:val="001D1F10"/>
    <w:rsid w:val="001D2DCF"/>
    <w:rsid w:val="001D3C98"/>
    <w:rsid w:val="001D49A3"/>
    <w:rsid w:val="001E2A3B"/>
    <w:rsid w:val="001E3733"/>
    <w:rsid w:val="001E3A27"/>
    <w:rsid w:val="001E5D90"/>
    <w:rsid w:val="001F1036"/>
    <w:rsid w:val="001F26D2"/>
    <w:rsid w:val="001F4236"/>
    <w:rsid w:val="001F62B0"/>
    <w:rsid w:val="001F7A14"/>
    <w:rsid w:val="00200B5F"/>
    <w:rsid w:val="00205A17"/>
    <w:rsid w:val="00205DBE"/>
    <w:rsid w:val="00210AD4"/>
    <w:rsid w:val="00210EAD"/>
    <w:rsid w:val="00214296"/>
    <w:rsid w:val="002143CD"/>
    <w:rsid w:val="00214DC6"/>
    <w:rsid w:val="002172D6"/>
    <w:rsid w:val="002206D4"/>
    <w:rsid w:val="00222B54"/>
    <w:rsid w:val="0022424E"/>
    <w:rsid w:val="002244F1"/>
    <w:rsid w:val="00227E40"/>
    <w:rsid w:val="00230078"/>
    <w:rsid w:val="00236676"/>
    <w:rsid w:val="00236BF4"/>
    <w:rsid w:val="00241A6B"/>
    <w:rsid w:val="00250E61"/>
    <w:rsid w:val="00253DEF"/>
    <w:rsid w:val="00254F91"/>
    <w:rsid w:val="00257531"/>
    <w:rsid w:val="0026139F"/>
    <w:rsid w:val="002622F9"/>
    <w:rsid w:val="00263BE7"/>
    <w:rsid w:val="00264BCB"/>
    <w:rsid w:val="002657AA"/>
    <w:rsid w:val="002668D1"/>
    <w:rsid w:val="00266A86"/>
    <w:rsid w:val="00276098"/>
    <w:rsid w:val="00280A9F"/>
    <w:rsid w:val="00283141"/>
    <w:rsid w:val="00283176"/>
    <w:rsid w:val="0028455C"/>
    <w:rsid w:val="00284A2D"/>
    <w:rsid w:val="00285B5F"/>
    <w:rsid w:val="002875A7"/>
    <w:rsid w:val="00291148"/>
    <w:rsid w:val="0029189B"/>
    <w:rsid w:val="002933C2"/>
    <w:rsid w:val="00293644"/>
    <w:rsid w:val="00294A0C"/>
    <w:rsid w:val="00295736"/>
    <w:rsid w:val="002A0BDA"/>
    <w:rsid w:val="002A5D90"/>
    <w:rsid w:val="002A6960"/>
    <w:rsid w:val="002A6F0E"/>
    <w:rsid w:val="002B125C"/>
    <w:rsid w:val="002B1A52"/>
    <w:rsid w:val="002B1C8D"/>
    <w:rsid w:val="002B72EE"/>
    <w:rsid w:val="002B7C8D"/>
    <w:rsid w:val="002C4405"/>
    <w:rsid w:val="002C6109"/>
    <w:rsid w:val="002C6A0B"/>
    <w:rsid w:val="002D7834"/>
    <w:rsid w:val="002E3327"/>
    <w:rsid w:val="002E348C"/>
    <w:rsid w:val="002E7158"/>
    <w:rsid w:val="002F4C23"/>
    <w:rsid w:val="002F600E"/>
    <w:rsid w:val="002F6458"/>
    <w:rsid w:val="002F6B59"/>
    <w:rsid w:val="002F77CB"/>
    <w:rsid w:val="00301C20"/>
    <w:rsid w:val="00303567"/>
    <w:rsid w:val="00304A72"/>
    <w:rsid w:val="00307082"/>
    <w:rsid w:val="003116B4"/>
    <w:rsid w:val="00313841"/>
    <w:rsid w:val="00320647"/>
    <w:rsid w:val="00321693"/>
    <w:rsid w:val="00323B37"/>
    <w:rsid w:val="00325558"/>
    <w:rsid w:val="00325EA2"/>
    <w:rsid w:val="00326D4B"/>
    <w:rsid w:val="0033185C"/>
    <w:rsid w:val="00331E22"/>
    <w:rsid w:val="00332233"/>
    <w:rsid w:val="00333E2B"/>
    <w:rsid w:val="00336E1F"/>
    <w:rsid w:val="00343A72"/>
    <w:rsid w:val="00346536"/>
    <w:rsid w:val="003513D3"/>
    <w:rsid w:val="003536FC"/>
    <w:rsid w:val="00360019"/>
    <w:rsid w:val="00360600"/>
    <w:rsid w:val="003608A6"/>
    <w:rsid w:val="0037205F"/>
    <w:rsid w:val="00373544"/>
    <w:rsid w:val="00377D35"/>
    <w:rsid w:val="003806BF"/>
    <w:rsid w:val="00390847"/>
    <w:rsid w:val="0039187F"/>
    <w:rsid w:val="00395CEC"/>
    <w:rsid w:val="003A511B"/>
    <w:rsid w:val="003A5AA7"/>
    <w:rsid w:val="003A7F21"/>
    <w:rsid w:val="003B0084"/>
    <w:rsid w:val="003B1A27"/>
    <w:rsid w:val="003B3980"/>
    <w:rsid w:val="003C0E6E"/>
    <w:rsid w:val="003D25EE"/>
    <w:rsid w:val="003D571E"/>
    <w:rsid w:val="003D62F1"/>
    <w:rsid w:val="003D78EB"/>
    <w:rsid w:val="003D7A76"/>
    <w:rsid w:val="003E7EC9"/>
    <w:rsid w:val="003F0BA0"/>
    <w:rsid w:val="003F4929"/>
    <w:rsid w:val="003F7E8D"/>
    <w:rsid w:val="00400043"/>
    <w:rsid w:val="004001F6"/>
    <w:rsid w:val="00400506"/>
    <w:rsid w:val="004013CA"/>
    <w:rsid w:val="00403A19"/>
    <w:rsid w:val="00410CA3"/>
    <w:rsid w:val="00412470"/>
    <w:rsid w:val="00412559"/>
    <w:rsid w:val="00415426"/>
    <w:rsid w:val="004168E5"/>
    <w:rsid w:val="00421C87"/>
    <w:rsid w:val="00423C1B"/>
    <w:rsid w:val="00423C73"/>
    <w:rsid w:val="0042567F"/>
    <w:rsid w:val="0042623A"/>
    <w:rsid w:val="00426245"/>
    <w:rsid w:val="00427117"/>
    <w:rsid w:val="00431B85"/>
    <w:rsid w:val="00434678"/>
    <w:rsid w:val="004355FA"/>
    <w:rsid w:val="00435A8E"/>
    <w:rsid w:val="00436A1E"/>
    <w:rsid w:val="00436DF1"/>
    <w:rsid w:val="004441B3"/>
    <w:rsid w:val="00444448"/>
    <w:rsid w:val="00445129"/>
    <w:rsid w:val="00446D29"/>
    <w:rsid w:val="0044701F"/>
    <w:rsid w:val="004476E9"/>
    <w:rsid w:val="00451CCC"/>
    <w:rsid w:val="0045204F"/>
    <w:rsid w:val="00453801"/>
    <w:rsid w:val="004543CB"/>
    <w:rsid w:val="00461DB5"/>
    <w:rsid w:val="004622CA"/>
    <w:rsid w:val="004624CE"/>
    <w:rsid w:val="00462532"/>
    <w:rsid w:val="00463983"/>
    <w:rsid w:val="0046533A"/>
    <w:rsid w:val="004803E5"/>
    <w:rsid w:val="00481A16"/>
    <w:rsid w:val="00482FAD"/>
    <w:rsid w:val="00485B44"/>
    <w:rsid w:val="00486F52"/>
    <w:rsid w:val="0049448C"/>
    <w:rsid w:val="004A2F00"/>
    <w:rsid w:val="004A6EA9"/>
    <w:rsid w:val="004B2F09"/>
    <w:rsid w:val="004C0015"/>
    <w:rsid w:val="004C1E40"/>
    <w:rsid w:val="004C4AF3"/>
    <w:rsid w:val="004C53FD"/>
    <w:rsid w:val="004D09FD"/>
    <w:rsid w:val="004D2C84"/>
    <w:rsid w:val="004D3AF0"/>
    <w:rsid w:val="004D4698"/>
    <w:rsid w:val="004E03BF"/>
    <w:rsid w:val="004E129A"/>
    <w:rsid w:val="004E373E"/>
    <w:rsid w:val="004E4CE4"/>
    <w:rsid w:val="004E6F6D"/>
    <w:rsid w:val="004E74AC"/>
    <w:rsid w:val="004F3F99"/>
    <w:rsid w:val="004F5978"/>
    <w:rsid w:val="004F6659"/>
    <w:rsid w:val="004F6BFB"/>
    <w:rsid w:val="004F75D1"/>
    <w:rsid w:val="00501D18"/>
    <w:rsid w:val="005031AF"/>
    <w:rsid w:val="0050339D"/>
    <w:rsid w:val="005053A4"/>
    <w:rsid w:val="0050605C"/>
    <w:rsid w:val="005062AF"/>
    <w:rsid w:val="0050715B"/>
    <w:rsid w:val="0051195F"/>
    <w:rsid w:val="005133E9"/>
    <w:rsid w:val="00513540"/>
    <w:rsid w:val="00516B4A"/>
    <w:rsid w:val="00517240"/>
    <w:rsid w:val="00517EF0"/>
    <w:rsid w:val="005209B6"/>
    <w:rsid w:val="00522CA6"/>
    <w:rsid w:val="00523712"/>
    <w:rsid w:val="00524C94"/>
    <w:rsid w:val="00530DB7"/>
    <w:rsid w:val="00533218"/>
    <w:rsid w:val="00535B19"/>
    <w:rsid w:val="00536EF8"/>
    <w:rsid w:val="0054010F"/>
    <w:rsid w:val="00540872"/>
    <w:rsid w:val="005419BD"/>
    <w:rsid w:val="005421C8"/>
    <w:rsid w:val="00544CF8"/>
    <w:rsid w:val="00547737"/>
    <w:rsid w:val="00552108"/>
    <w:rsid w:val="00553C93"/>
    <w:rsid w:val="00553D9C"/>
    <w:rsid w:val="00554277"/>
    <w:rsid w:val="00555713"/>
    <w:rsid w:val="005602E1"/>
    <w:rsid w:val="00561128"/>
    <w:rsid w:val="005639B7"/>
    <w:rsid w:val="00563B6D"/>
    <w:rsid w:val="00567B0A"/>
    <w:rsid w:val="0057165D"/>
    <w:rsid w:val="00571783"/>
    <w:rsid w:val="00571BED"/>
    <w:rsid w:val="00572684"/>
    <w:rsid w:val="005726A4"/>
    <w:rsid w:val="00581C4B"/>
    <w:rsid w:val="00581F1D"/>
    <w:rsid w:val="0058627A"/>
    <w:rsid w:val="00586ADE"/>
    <w:rsid w:val="00587709"/>
    <w:rsid w:val="005877BD"/>
    <w:rsid w:val="00587BC9"/>
    <w:rsid w:val="005915C8"/>
    <w:rsid w:val="00591938"/>
    <w:rsid w:val="00591AAA"/>
    <w:rsid w:val="005931BB"/>
    <w:rsid w:val="00593491"/>
    <w:rsid w:val="005957F2"/>
    <w:rsid w:val="005A0E9C"/>
    <w:rsid w:val="005A3D67"/>
    <w:rsid w:val="005A4682"/>
    <w:rsid w:val="005A4D15"/>
    <w:rsid w:val="005A6E11"/>
    <w:rsid w:val="005B0F20"/>
    <w:rsid w:val="005B284F"/>
    <w:rsid w:val="005B51D1"/>
    <w:rsid w:val="005B5A64"/>
    <w:rsid w:val="005C4A30"/>
    <w:rsid w:val="005C55C2"/>
    <w:rsid w:val="005C6211"/>
    <w:rsid w:val="005C7650"/>
    <w:rsid w:val="005D0330"/>
    <w:rsid w:val="005D4B94"/>
    <w:rsid w:val="005D4E66"/>
    <w:rsid w:val="005D600E"/>
    <w:rsid w:val="005D7A7E"/>
    <w:rsid w:val="005E0AA8"/>
    <w:rsid w:val="005E1144"/>
    <w:rsid w:val="005E2C0A"/>
    <w:rsid w:val="005E33EC"/>
    <w:rsid w:val="005E515C"/>
    <w:rsid w:val="005E6387"/>
    <w:rsid w:val="005F4E8A"/>
    <w:rsid w:val="005F5E6F"/>
    <w:rsid w:val="005F6CDA"/>
    <w:rsid w:val="005F7343"/>
    <w:rsid w:val="00603828"/>
    <w:rsid w:val="0060409B"/>
    <w:rsid w:val="00605437"/>
    <w:rsid w:val="0060747B"/>
    <w:rsid w:val="006115F1"/>
    <w:rsid w:val="0061452B"/>
    <w:rsid w:val="006161A3"/>
    <w:rsid w:val="006204AA"/>
    <w:rsid w:val="006211FC"/>
    <w:rsid w:val="006237E7"/>
    <w:rsid w:val="00630F90"/>
    <w:rsid w:val="00632232"/>
    <w:rsid w:val="00634DE1"/>
    <w:rsid w:val="00643282"/>
    <w:rsid w:val="00643436"/>
    <w:rsid w:val="006451B1"/>
    <w:rsid w:val="00645624"/>
    <w:rsid w:val="006514E6"/>
    <w:rsid w:val="00655034"/>
    <w:rsid w:val="00655195"/>
    <w:rsid w:val="006601CE"/>
    <w:rsid w:val="006653BD"/>
    <w:rsid w:val="0067564F"/>
    <w:rsid w:val="00676D51"/>
    <w:rsid w:val="00677D0C"/>
    <w:rsid w:val="006816D8"/>
    <w:rsid w:val="00682D20"/>
    <w:rsid w:val="00685118"/>
    <w:rsid w:val="00685F57"/>
    <w:rsid w:val="00692438"/>
    <w:rsid w:val="00692572"/>
    <w:rsid w:val="006928FE"/>
    <w:rsid w:val="00695741"/>
    <w:rsid w:val="0069713F"/>
    <w:rsid w:val="00697765"/>
    <w:rsid w:val="006A2A10"/>
    <w:rsid w:val="006A5176"/>
    <w:rsid w:val="006B08DF"/>
    <w:rsid w:val="006B1C39"/>
    <w:rsid w:val="006B20BB"/>
    <w:rsid w:val="006B650C"/>
    <w:rsid w:val="006C1114"/>
    <w:rsid w:val="006C2E3B"/>
    <w:rsid w:val="006D4622"/>
    <w:rsid w:val="006E23B1"/>
    <w:rsid w:val="006E3874"/>
    <w:rsid w:val="006F23EB"/>
    <w:rsid w:val="006F29AC"/>
    <w:rsid w:val="006F3FC6"/>
    <w:rsid w:val="00701719"/>
    <w:rsid w:val="00701D88"/>
    <w:rsid w:val="007074E1"/>
    <w:rsid w:val="00707ECB"/>
    <w:rsid w:val="0071014F"/>
    <w:rsid w:val="0071026F"/>
    <w:rsid w:val="00711A29"/>
    <w:rsid w:val="00715D9A"/>
    <w:rsid w:val="007207E3"/>
    <w:rsid w:val="007218B1"/>
    <w:rsid w:val="007237F1"/>
    <w:rsid w:val="007247A3"/>
    <w:rsid w:val="00724C72"/>
    <w:rsid w:val="007259FA"/>
    <w:rsid w:val="00727426"/>
    <w:rsid w:val="007304BE"/>
    <w:rsid w:val="00732F4F"/>
    <w:rsid w:val="0073722F"/>
    <w:rsid w:val="00740074"/>
    <w:rsid w:val="007401B1"/>
    <w:rsid w:val="00742396"/>
    <w:rsid w:val="00742CAF"/>
    <w:rsid w:val="00743744"/>
    <w:rsid w:val="007524F8"/>
    <w:rsid w:val="00756580"/>
    <w:rsid w:val="00757FB6"/>
    <w:rsid w:val="00766591"/>
    <w:rsid w:val="007673C7"/>
    <w:rsid w:val="00767C46"/>
    <w:rsid w:val="00774229"/>
    <w:rsid w:val="00777E26"/>
    <w:rsid w:val="00790C41"/>
    <w:rsid w:val="00791253"/>
    <w:rsid w:val="00791E4B"/>
    <w:rsid w:val="00791ECF"/>
    <w:rsid w:val="00794EA5"/>
    <w:rsid w:val="00796CC5"/>
    <w:rsid w:val="00797B97"/>
    <w:rsid w:val="007A14A5"/>
    <w:rsid w:val="007B05A7"/>
    <w:rsid w:val="007B09CA"/>
    <w:rsid w:val="007B1DB4"/>
    <w:rsid w:val="007B40A1"/>
    <w:rsid w:val="007B6081"/>
    <w:rsid w:val="007B71BE"/>
    <w:rsid w:val="007B749E"/>
    <w:rsid w:val="007C06AB"/>
    <w:rsid w:val="007C5B26"/>
    <w:rsid w:val="007C5F8B"/>
    <w:rsid w:val="007D19E8"/>
    <w:rsid w:val="007D25FA"/>
    <w:rsid w:val="007D4547"/>
    <w:rsid w:val="007D5664"/>
    <w:rsid w:val="007D7419"/>
    <w:rsid w:val="007D7C34"/>
    <w:rsid w:val="007E1191"/>
    <w:rsid w:val="007E1BC8"/>
    <w:rsid w:val="007E3000"/>
    <w:rsid w:val="007E506D"/>
    <w:rsid w:val="007E7D48"/>
    <w:rsid w:val="007F0D72"/>
    <w:rsid w:val="007F183F"/>
    <w:rsid w:val="007F212F"/>
    <w:rsid w:val="007F3449"/>
    <w:rsid w:val="007F4C37"/>
    <w:rsid w:val="007F77C9"/>
    <w:rsid w:val="00802D8D"/>
    <w:rsid w:val="00804D20"/>
    <w:rsid w:val="00804DC6"/>
    <w:rsid w:val="00812DEB"/>
    <w:rsid w:val="00813DA1"/>
    <w:rsid w:val="00816A3C"/>
    <w:rsid w:val="008179D5"/>
    <w:rsid w:val="00830465"/>
    <w:rsid w:val="00830788"/>
    <w:rsid w:val="00830B5F"/>
    <w:rsid w:val="0083183B"/>
    <w:rsid w:val="008337C0"/>
    <w:rsid w:val="00833B05"/>
    <w:rsid w:val="00834E47"/>
    <w:rsid w:val="00835740"/>
    <w:rsid w:val="0084490A"/>
    <w:rsid w:val="00844D6D"/>
    <w:rsid w:val="00850567"/>
    <w:rsid w:val="008522F7"/>
    <w:rsid w:val="00852D1C"/>
    <w:rsid w:val="0085579E"/>
    <w:rsid w:val="008567C0"/>
    <w:rsid w:val="0085798E"/>
    <w:rsid w:val="00864222"/>
    <w:rsid w:val="00865520"/>
    <w:rsid w:val="00866986"/>
    <w:rsid w:val="00870575"/>
    <w:rsid w:val="00870E08"/>
    <w:rsid w:val="008715DD"/>
    <w:rsid w:val="008716BD"/>
    <w:rsid w:val="00871AAD"/>
    <w:rsid w:val="00871E5F"/>
    <w:rsid w:val="00872514"/>
    <w:rsid w:val="008734B9"/>
    <w:rsid w:val="00874E19"/>
    <w:rsid w:val="00877263"/>
    <w:rsid w:val="0087791D"/>
    <w:rsid w:val="0088795C"/>
    <w:rsid w:val="00891A7B"/>
    <w:rsid w:val="00893689"/>
    <w:rsid w:val="00893948"/>
    <w:rsid w:val="00895447"/>
    <w:rsid w:val="008A2F21"/>
    <w:rsid w:val="008A3280"/>
    <w:rsid w:val="008A41BD"/>
    <w:rsid w:val="008A544A"/>
    <w:rsid w:val="008A5F8C"/>
    <w:rsid w:val="008B2970"/>
    <w:rsid w:val="008C5339"/>
    <w:rsid w:val="008C5872"/>
    <w:rsid w:val="008C5877"/>
    <w:rsid w:val="008C68E5"/>
    <w:rsid w:val="008D1785"/>
    <w:rsid w:val="008D2992"/>
    <w:rsid w:val="008D48D4"/>
    <w:rsid w:val="008E147A"/>
    <w:rsid w:val="008E2A89"/>
    <w:rsid w:val="008E4E0F"/>
    <w:rsid w:val="008E78F5"/>
    <w:rsid w:val="008F1116"/>
    <w:rsid w:val="008F2AAD"/>
    <w:rsid w:val="008F5656"/>
    <w:rsid w:val="008F56E9"/>
    <w:rsid w:val="008F7799"/>
    <w:rsid w:val="008F7B2A"/>
    <w:rsid w:val="00910079"/>
    <w:rsid w:val="00913DEB"/>
    <w:rsid w:val="00914491"/>
    <w:rsid w:val="00916A15"/>
    <w:rsid w:val="0091757F"/>
    <w:rsid w:val="009175E9"/>
    <w:rsid w:val="00917EA8"/>
    <w:rsid w:val="00921F96"/>
    <w:rsid w:val="00922C36"/>
    <w:rsid w:val="00924F24"/>
    <w:rsid w:val="00925DF1"/>
    <w:rsid w:val="0092799A"/>
    <w:rsid w:val="009341D5"/>
    <w:rsid w:val="00935476"/>
    <w:rsid w:val="00937DA4"/>
    <w:rsid w:val="00940FAA"/>
    <w:rsid w:val="00942E65"/>
    <w:rsid w:val="009436C6"/>
    <w:rsid w:val="00943703"/>
    <w:rsid w:val="00944449"/>
    <w:rsid w:val="0094571A"/>
    <w:rsid w:val="00947D69"/>
    <w:rsid w:val="00947DDF"/>
    <w:rsid w:val="00952EB1"/>
    <w:rsid w:val="00953644"/>
    <w:rsid w:val="00953AFB"/>
    <w:rsid w:val="00954264"/>
    <w:rsid w:val="00954827"/>
    <w:rsid w:val="00957CF4"/>
    <w:rsid w:val="00957F34"/>
    <w:rsid w:val="00971009"/>
    <w:rsid w:val="00973A78"/>
    <w:rsid w:val="00974C03"/>
    <w:rsid w:val="00976D7C"/>
    <w:rsid w:val="00977FE8"/>
    <w:rsid w:val="009858EF"/>
    <w:rsid w:val="009864E3"/>
    <w:rsid w:val="00992001"/>
    <w:rsid w:val="00993164"/>
    <w:rsid w:val="00993C1D"/>
    <w:rsid w:val="0099605F"/>
    <w:rsid w:val="009A1F8B"/>
    <w:rsid w:val="009B2E20"/>
    <w:rsid w:val="009B399E"/>
    <w:rsid w:val="009B7BFB"/>
    <w:rsid w:val="009C3D61"/>
    <w:rsid w:val="009C5DF0"/>
    <w:rsid w:val="009C726C"/>
    <w:rsid w:val="009D0434"/>
    <w:rsid w:val="009D3763"/>
    <w:rsid w:val="009D6F3D"/>
    <w:rsid w:val="009D720D"/>
    <w:rsid w:val="009E00FA"/>
    <w:rsid w:val="009E2DBF"/>
    <w:rsid w:val="009E45FD"/>
    <w:rsid w:val="009E4669"/>
    <w:rsid w:val="009F0B4C"/>
    <w:rsid w:val="009F51A3"/>
    <w:rsid w:val="009F5DC7"/>
    <w:rsid w:val="00A04C0F"/>
    <w:rsid w:val="00A06991"/>
    <w:rsid w:val="00A14863"/>
    <w:rsid w:val="00A15FE5"/>
    <w:rsid w:val="00A16BEC"/>
    <w:rsid w:val="00A23BC4"/>
    <w:rsid w:val="00A25BB6"/>
    <w:rsid w:val="00A33339"/>
    <w:rsid w:val="00A34747"/>
    <w:rsid w:val="00A34B7F"/>
    <w:rsid w:val="00A35372"/>
    <w:rsid w:val="00A406D5"/>
    <w:rsid w:val="00A4299B"/>
    <w:rsid w:val="00A46574"/>
    <w:rsid w:val="00A46A1A"/>
    <w:rsid w:val="00A47789"/>
    <w:rsid w:val="00A50AA0"/>
    <w:rsid w:val="00A50B76"/>
    <w:rsid w:val="00A533AB"/>
    <w:rsid w:val="00A53D1B"/>
    <w:rsid w:val="00A554A1"/>
    <w:rsid w:val="00A60368"/>
    <w:rsid w:val="00A60B9B"/>
    <w:rsid w:val="00A661B8"/>
    <w:rsid w:val="00A701CC"/>
    <w:rsid w:val="00A74C8F"/>
    <w:rsid w:val="00A77227"/>
    <w:rsid w:val="00A77409"/>
    <w:rsid w:val="00A809D0"/>
    <w:rsid w:val="00A80D11"/>
    <w:rsid w:val="00A82ED6"/>
    <w:rsid w:val="00A83043"/>
    <w:rsid w:val="00A83EDF"/>
    <w:rsid w:val="00A85CB4"/>
    <w:rsid w:val="00A86FE4"/>
    <w:rsid w:val="00A90BFC"/>
    <w:rsid w:val="00A91C46"/>
    <w:rsid w:val="00A976E2"/>
    <w:rsid w:val="00AA3B8D"/>
    <w:rsid w:val="00AA6473"/>
    <w:rsid w:val="00AB0282"/>
    <w:rsid w:val="00AB4794"/>
    <w:rsid w:val="00AB5586"/>
    <w:rsid w:val="00AB584D"/>
    <w:rsid w:val="00AB7BBB"/>
    <w:rsid w:val="00AC08C9"/>
    <w:rsid w:val="00AC4349"/>
    <w:rsid w:val="00AC62ED"/>
    <w:rsid w:val="00AC7DBF"/>
    <w:rsid w:val="00AD0D27"/>
    <w:rsid w:val="00AD211B"/>
    <w:rsid w:val="00AD3B9E"/>
    <w:rsid w:val="00AD4123"/>
    <w:rsid w:val="00AD730C"/>
    <w:rsid w:val="00AE243E"/>
    <w:rsid w:val="00AE34B1"/>
    <w:rsid w:val="00AE3AF6"/>
    <w:rsid w:val="00AE6F68"/>
    <w:rsid w:val="00AF23D0"/>
    <w:rsid w:val="00AF370D"/>
    <w:rsid w:val="00AF38B2"/>
    <w:rsid w:val="00AF3A11"/>
    <w:rsid w:val="00AF6A7B"/>
    <w:rsid w:val="00B0176A"/>
    <w:rsid w:val="00B03161"/>
    <w:rsid w:val="00B06E75"/>
    <w:rsid w:val="00B072DB"/>
    <w:rsid w:val="00B1025D"/>
    <w:rsid w:val="00B107EB"/>
    <w:rsid w:val="00B14716"/>
    <w:rsid w:val="00B14B6C"/>
    <w:rsid w:val="00B200FD"/>
    <w:rsid w:val="00B2325D"/>
    <w:rsid w:val="00B249FD"/>
    <w:rsid w:val="00B2646D"/>
    <w:rsid w:val="00B26F67"/>
    <w:rsid w:val="00B27BFF"/>
    <w:rsid w:val="00B34C22"/>
    <w:rsid w:val="00B34ED7"/>
    <w:rsid w:val="00B361D6"/>
    <w:rsid w:val="00B46AC8"/>
    <w:rsid w:val="00B46E48"/>
    <w:rsid w:val="00B47BEA"/>
    <w:rsid w:val="00B52202"/>
    <w:rsid w:val="00B5490D"/>
    <w:rsid w:val="00B55C06"/>
    <w:rsid w:val="00B57A5F"/>
    <w:rsid w:val="00B62946"/>
    <w:rsid w:val="00B643BE"/>
    <w:rsid w:val="00B6476E"/>
    <w:rsid w:val="00B6519C"/>
    <w:rsid w:val="00B66B05"/>
    <w:rsid w:val="00B71920"/>
    <w:rsid w:val="00B72F18"/>
    <w:rsid w:val="00B773D9"/>
    <w:rsid w:val="00B81567"/>
    <w:rsid w:val="00B82E65"/>
    <w:rsid w:val="00B858EB"/>
    <w:rsid w:val="00B87E39"/>
    <w:rsid w:val="00B9002A"/>
    <w:rsid w:val="00B9281A"/>
    <w:rsid w:val="00B94848"/>
    <w:rsid w:val="00BA16D3"/>
    <w:rsid w:val="00BA1BC0"/>
    <w:rsid w:val="00BA34AF"/>
    <w:rsid w:val="00BA418A"/>
    <w:rsid w:val="00BA637E"/>
    <w:rsid w:val="00BB19AD"/>
    <w:rsid w:val="00BB4420"/>
    <w:rsid w:val="00BB4474"/>
    <w:rsid w:val="00BB6797"/>
    <w:rsid w:val="00BB7EEC"/>
    <w:rsid w:val="00BC0DEA"/>
    <w:rsid w:val="00BC1070"/>
    <w:rsid w:val="00BC303F"/>
    <w:rsid w:val="00BC4FFD"/>
    <w:rsid w:val="00BD0518"/>
    <w:rsid w:val="00BD2316"/>
    <w:rsid w:val="00BD3785"/>
    <w:rsid w:val="00BD439F"/>
    <w:rsid w:val="00BD5E9F"/>
    <w:rsid w:val="00BF04FF"/>
    <w:rsid w:val="00BF1462"/>
    <w:rsid w:val="00BF2DD2"/>
    <w:rsid w:val="00C0130E"/>
    <w:rsid w:val="00C01A7A"/>
    <w:rsid w:val="00C02398"/>
    <w:rsid w:val="00C024D6"/>
    <w:rsid w:val="00C10830"/>
    <w:rsid w:val="00C12C9D"/>
    <w:rsid w:val="00C1402B"/>
    <w:rsid w:val="00C15E91"/>
    <w:rsid w:val="00C17B45"/>
    <w:rsid w:val="00C23719"/>
    <w:rsid w:val="00C24B04"/>
    <w:rsid w:val="00C256B5"/>
    <w:rsid w:val="00C26616"/>
    <w:rsid w:val="00C27078"/>
    <w:rsid w:val="00C332B3"/>
    <w:rsid w:val="00C35006"/>
    <w:rsid w:val="00C40C4B"/>
    <w:rsid w:val="00C433BD"/>
    <w:rsid w:val="00C45663"/>
    <w:rsid w:val="00C5321F"/>
    <w:rsid w:val="00C5581F"/>
    <w:rsid w:val="00C60286"/>
    <w:rsid w:val="00C6061A"/>
    <w:rsid w:val="00C61E8E"/>
    <w:rsid w:val="00C64C6B"/>
    <w:rsid w:val="00C6719F"/>
    <w:rsid w:val="00C70C5D"/>
    <w:rsid w:val="00C74454"/>
    <w:rsid w:val="00C80F9B"/>
    <w:rsid w:val="00C83CE6"/>
    <w:rsid w:val="00C85E90"/>
    <w:rsid w:val="00C92587"/>
    <w:rsid w:val="00C92D75"/>
    <w:rsid w:val="00C95D3C"/>
    <w:rsid w:val="00C95EBC"/>
    <w:rsid w:val="00CA1227"/>
    <w:rsid w:val="00CA4B7A"/>
    <w:rsid w:val="00CA5246"/>
    <w:rsid w:val="00CA71D9"/>
    <w:rsid w:val="00CB0109"/>
    <w:rsid w:val="00CB2371"/>
    <w:rsid w:val="00CB30DF"/>
    <w:rsid w:val="00CB4F71"/>
    <w:rsid w:val="00CC02BB"/>
    <w:rsid w:val="00CC3134"/>
    <w:rsid w:val="00CD4607"/>
    <w:rsid w:val="00CE0341"/>
    <w:rsid w:val="00CE12F1"/>
    <w:rsid w:val="00CE2493"/>
    <w:rsid w:val="00CE2516"/>
    <w:rsid w:val="00CE3E20"/>
    <w:rsid w:val="00CE4CB5"/>
    <w:rsid w:val="00CE65E4"/>
    <w:rsid w:val="00CE72AC"/>
    <w:rsid w:val="00CF2DA2"/>
    <w:rsid w:val="00CF6AE9"/>
    <w:rsid w:val="00CF6BFE"/>
    <w:rsid w:val="00CF72D6"/>
    <w:rsid w:val="00D0074A"/>
    <w:rsid w:val="00D01721"/>
    <w:rsid w:val="00D02663"/>
    <w:rsid w:val="00D05244"/>
    <w:rsid w:val="00D142F4"/>
    <w:rsid w:val="00D15010"/>
    <w:rsid w:val="00D15C8B"/>
    <w:rsid w:val="00D16AEF"/>
    <w:rsid w:val="00D17116"/>
    <w:rsid w:val="00D301BA"/>
    <w:rsid w:val="00D31B12"/>
    <w:rsid w:val="00D326F1"/>
    <w:rsid w:val="00D3297D"/>
    <w:rsid w:val="00D3512E"/>
    <w:rsid w:val="00D3578D"/>
    <w:rsid w:val="00D36D3E"/>
    <w:rsid w:val="00D442D5"/>
    <w:rsid w:val="00D463BB"/>
    <w:rsid w:val="00D50533"/>
    <w:rsid w:val="00D523A3"/>
    <w:rsid w:val="00D52583"/>
    <w:rsid w:val="00D5280F"/>
    <w:rsid w:val="00D57C98"/>
    <w:rsid w:val="00D617D1"/>
    <w:rsid w:val="00D63DDF"/>
    <w:rsid w:val="00D66E25"/>
    <w:rsid w:val="00D7132A"/>
    <w:rsid w:val="00D71CF7"/>
    <w:rsid w:val="00D73ED9"/>
    <w:rsid w:val="00D75506"/>
    <w:rsid w:val="00D75D7F"/>
    <w:rsid w:val="00D77B3A"/>
    <w:rsid w:val="00D82A2F"/>
    <w:rsid w:val="00D850E9"/>
    <w:rsid w:val="00D93D69"/>
    <w:rsid w:val="00D94723"/>
    <w:rsid w:val="00DA0A2B"/>
    <w:rsid w:val="00DA0FFF"/>
    <w:rsid w:val="00DA250D"/>
    <w:rsid w:val="00DA298E"/>
    <w:rsid w:val="00DA5727"/>
    <w:rsid w:val="00DA6899"/>
    <w:rsid w:val="00DB3311"/>
    <w:rsid w:val="00DB46BD"/>
    <w:rsid w:val="00DB4F70"/>
    <w:rsid w:val="00DB7C96"/>
    <w:rsid w:val="00DC2AC2"/>
    <w:rsid w:val="00DD1C98"/>
    <w:rsid w:val="00DD2535"/>
    <w:rsid w:val="00DD301D"/>
    <w:rsid w:val="00DD40CF"/>
    <w:rsid w:val="00DD55BC"/>
    <w:rsid w:val="00DE1469"/>
    <w:rsid w:val="00DE1638"/>
    <w:rsid w:val="00DF06A8"/>
    <w:rsid w:val="00DF0736"/>
    <w:rsid w:val="00DF1061"/>
    <w:rsid w:val="00DF2675"/>
    <w:rsid w:val="00DF4501"/>
    <w:rsid w:val="00DF6592"/>
    <w:rsid w:val="00DF74C1"/>
    <w:rsid w:val="00E0273F"/>
    <w:rsid w:val="00E106F1"/>
    <w:rsid w:val="00E1127F"/>
    <w:rsid w:val="00E1152C"/>
    <w:rsid w:val="00E16113"/>
    <w:rsid w:val="00E174C3"/>
    <w:rsid w:val="00E20290"/>
    <w:rsid w:val="00E234DC"/>
    <w:rsid w:val="00E242D7"/>
    <w:rsid w:val="00E246DE"/>
    <w:rsid w:val="00E25850"/>
    <w:rsid w:val="00E26B02"/>
    <w:rsid w:val="00E30456"/>
    <w:rsid w:val="00E33595"/>
    <w:rsid w:val="00E3380E"/>
    <w:rsid w:val="00E34BF3"/>
    <w:rsid w:val="00E36B6F"/>
    <w:rsid w:val="00E371D4"/>
    <w:rsid w:val="00E46970"/>
    <w:rsid w:val="00E559DF"/>
    <w:rsid w:val="00E56678"/>
    <w:rsid w:val="00E57014"/>
    <w:rsid w:val="00E60F70"/>
    <w:rsid w:val="00E61B95"/>
    <w:rsid w:val="00E624F9"/>
    <w:rsid w:val="00E62B94"/>
    <w:rsid w:val="00E63DBC"/>
    <w:rsid w:val="00E658CE"/>
    <w:rsid w:val="00E659BA"/>
    <w:rsid w:val="00E6723F"/>
    <w:rsid w:val="00E7081D"/>
    <w:rsid w:val="00E730DB"/>
    <w:rsid w:val="00E7352E"/>
    <w:rsid w:val="00E76170"/>
    <w:rsid w:val="00E8189F"/>
    <w:rsid w:val="00E81E5C"/>
    <w:rsid w:val="00E82889"/>
    <w:rsid w:val="00E82BA4"/>
    <w:rsid w:val="00E86221"/>
    <w:rsid w:val="00E902C8"/>
    <w:rsid w:val="00E92595"/>
    <w:rsid w:val="00E9269F"/>
    <w:rsid w:val="00E9280A"/>
    <w:rsid w:val="00E937AB"/>
    <w:rsid w:val="00E93B3B"/>
    <w:rsid w:val="00E97CE1"/>
    <w:rsid w:val="00EA0FAE"/>
    <w:rsid w:val="00EA1085"/>
    <w:rsid w:val="00EA3114"/>
    <w:rsid w:val="00EA4B69"/>
    <w:rsid w:val="00EA65A9"/>
    <w:rsid w:val="00EB0302"/>
    <w:rsid w:val="00EB067A"/>
    <w:rsid w:val="00EB08A6"/>
    <w:rsid w:val="00EB4305"/>
    <w:rsid w:val="00EB5833"/>
    <w:rsid w:val="00EB5F22"/>
    <w:rsid w:val="00EB6CE0"/>
    <w:rsid w:val="00EC14C3"/>
    <w:rsid w:val="00EC4017"/>
    <w:rsid w:val="00EC66F7"/>
    <w:rsid w:val="00EC725A"/>
    <w:rsid w:val="00ED09FC"/>
    <w:rsid w:val="00ED0FF6"/>
    <w:rsid w:val="00ED2421"/>
    <w:rsid w:val="00ED611A"/>
    <w:rsid w:val="00ED73A6"/>
    <w:rsid w:val="00EE0976"/>
    <w:rsid w:val="00EE1F3C"/>
    <w:rsid w:val="00EE4A80"/>
    <w:rsid w:val="00EE5FC5"/>
    <w:rsid w:val="00EE6F67"/>
    <w:rsid w:val="00EF08EA"/>
    <w:rsid w:val="00EF398C"/>
    <w:rsid w:val="00EF4063"/>
    <w:rsid w:val="00F00D63"/>
    <w:rsid w:val="00F00E37"/>
    <w:rsid w:val="00F0189F"/>
    <w:rsid w:val="00F01FFA"/>
    <w:rsid w:val="00F02E43"/>
    <w:rsid w:val="00F05A9F"/>
    <w:rsid w:val="00F07547"/>
    <w:rsid w:val="00F122CB"/>
    <w:rsid w:val="00F1700B"/>
    <w:rsid w:val="00F22AD2"/>
    <w:rsid w:val="00F24B10"/>
    <w:rsid w:val="00F31BA6"/>
    <w:rsid w:val="00F3233B"/>
    <w:rsid w:val="00F34240"/>
    <w:rsid w:val="00F368AE"/>
    <w:rsid w:val="00F42E3B"/>
    <w:rsid w:val="00F43CED"/>
    <w:rsid w:val="00F43FF0"/>
    <w:rsid w:val="00F440D2"/>
    <w:rsid w:val="00F47A7C"/>
    <w:rsid w:val="00F508B7"/>
    <w:rsid w:val="00F50F80"/>
    <w:rsid w:val="00F5208A"/>
    <w:rsid w:val="00F5351B"/>
    <w:rsid w:val="00F564FE"/>
    <w:rsid w:val="00F604C5"/>
    <w:rsid w:val="00F62207"/>
    <w:rsid w:val="00F641AB"/>
    <w:rsid w:val="00F648A0"/>
    <w:rsid w:val="00F66067"/>
    <w:rsid w:val="00F670DA"/>
    <w:rsid w:val="00F71E00"/>
    <w:rsid w:val="00F76307"/>
    <w:rsid w:val="00F76901"/>
    <w:rsid w:val="00F81760"/>
    <w:rsid w:val="00F86E5E"/>
    <w:rsid w:val="00F87034"/>
    <w:rsid w:val="00F8772A"/>
    <w:rsid w:val="00F91EE1"/>
    <w:rsid w:val="00FA02A3"/>
    <w:rsid w:val="00FA0FCE"/>
    <w:rsid w:val="00FA51B9"/>
    <w:rsid w:val="00FA6E81"/>
    <w:rsid w:val="00FA7084"/>
    <w:rsid w:val="00FA7DEF"/>
    <w:rsid w:val="00FB0D24"/>
    <w:rsid w:val="00FB5B6F"/>
    <w:rsid w:val="00FC1157"/>
    <w:rsid w:val="00FC3236"/>
    <w:rsid w:val="00FC3D05"/>
    <w:rsid w:val="00FC5B0F"/>
    <w:rsid w:val="00FD1941"/>
    <w:rsid w:val="00FD1D9B"/>
    <w:rsid w:val="00FE003D"/>
    <w:rsid w:val="00FE18AF"/>
    <w:rsid w:val="00FE27E5"/>
    <w:rsid w:val="00FE7572"/>
    <w:rsid w:val="00FF013E"/>
    <w:rsid w:val="00FF2CA9"/>
    <w:rsid w:val="07837045"/>
    <w:rsid w:val="1DEC1F94"/>
    <w:rsid w:val="3100550F"/>
    <w:rsid w:val="313763B8"/>
    <w:rsid w:val="4EBC386F"/>
    <w:rsid w:val="580C5867"/>
    <w:rsid w:val="646722D5"/>
    <w:rsid w:val="71BE7E74"/>
    <w:rsid w:val="7A435965"/>
    <w:rsid w:val="7CF30B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Georgia" w:hAnsi="Georgia" w:eastAsia="宋体" w:cstheme="minorBidi"/>
      <w:kern w:val="0"/>
      <w:sz w:val="22"/>
      <w:szCs w:val="22"/>
      <w:lang w:val="en-US" w:eastAsia="zh-CN" w:bidi="ar-SA"/>
    </w:rPr>
  </w:style>
  <w:style w:type="paragraph" w:styleId="2">
    <w:name w:val="heading 1"/>
    <w:basedOn w:val="1"/>
    <w:next w:val="1"/>
    <w:link w:val="48"/>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45"/>
    <w:semiHidden/>
    <w:unhideWhenUsed/>
    <w:qFormat/>
    <w:uiPriority w:val="0"/>
    <w:pPr>
      <w:keepNext/>
      <w:keepLines/>
      <w:widowControl w:val="0"/>
      <w:spacing w:before="260" w:after="260" w:line="415" w:lineRule="auto"/>
      <w:jc w:val="both"/>
      <w:outlineLvl w:val="1"/>
    </w:pPr>
    <w:rPr>
      <w:rFonts w:ascii="Arial" w:hAnsi="Arial" w:eastAsia="黑体" w:cs="Times New Roman"/>
      <w:b/>
      <w:bCs/>
      <w:kern w:val="2"/>
      <w:sz w:val="32"/>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51"/>
    <w:semiHidden/>
    <w:unhideWhenUsed/>
    <w:qFormat/>
    <w:uiPriority w:val="99"/>
  </w:style>
  <w:style w:type="paragraph" w:styleId="5">
    <w:name w:val="toc 3"/>
    <w:basedOn w:val="1"/>
    <w:next w:val="1"/>
    <w:autoRedefine/>
    <w:qFormat/>
    <w:uiPriority w:val="39"/>
    <w:pPr>
      <w:widowControl w:val="0"/>
      <w:tabs>
        <w:tab w:val="right" w:leader="dot" w:pos="9241"/>
      </w:tabs>
      <w:spacing w:after="0" w:line="240" w:lineRule="auto"/>
      <w:ind w:firstLine="100" w:firstLineChars="100"/>
    </w:pPr>
    <w:rPr>
      <w:rFonts w:ascii="宋体" w:hAnsi="Times New Roman" w:cs="Times New Roman"/>
      <w:kern w:val="2"/>
      <w:sz w:val="21"/>
      <w:szCs w:val="21"/>
    </w:rPr>
  </w:style>
  <w:style w:type="paragraph" w:styleId="6">
    <w:name w:val="Balloon Text"/>
    <w:basedOn w:val="1"/>
    <w:link w:val="30"/>
    <w:semiHidden/>
    <w:unhideWhenUsed/>
    <w:qFormat/>
    <w:uiPriority w:val="99"/>
    <w:pPr>
      <w:spacing w:after="0" w:line="240" w:lineRule="auto"/>
    </w:pPr>
    <w:rPr>
      <w:sz w:val="18"/>
      <w:szCs w:val="18"/>
    </w:rPr>
  </w:style>
  <w:style w:type="paragraph" w:styleId="7">
    <w:name w:val="footer"/>
    <w:basedOn w:val="1"/>
    <w:link w:val="25"/>
    <w:unhideWhenUsed/>
    <w:qFormat/>
    <w:uiPriority w:val="99"/>
    <w:pPr>
      <w:tabs>
        <w:tab w:val="center" w:pos="4153"/>
        <w:tab w:val="right" w:pos="8306"/>
      </w:tabs>
      <w:snapToGrid w:val="0"/>
      <w:spacing w:line="240" w:lineRule="auto"/>
    </w:pPr>
    <w:rPr>
      <w:sz w:val="18"/>
      <w:szCs w:val="18"/>
    </w:rPr>
  </w:style>
  <w:style w:type="paragraph" w:styleId="8">
    <w:name w:val="header"/>
    <w:basedOn w:val="1"/>
    <w:link w:val="24"/>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9">
    <w:name w:val="toc 1"/>
    <w:basedOn w:val="1"/>
    <w:next w:val="1"/>
    <w:autoRedefine/>
    <w:qFormat/>
    <w:uiPriority w:val="39"/>
    <w:pPr>
      <w:widowControl w:val="0"/>
      <w:tabs>
        <w:tab w:val="right" w:leader="dot" w:pos="9242"/>
      </w:tabs>
      <w:spacing w:after="0" w:line="560" w:lineRule="exact"/>
      <w:jc w:val="center"/>
    </w:pPr>
    <w:rPr>
      <w:rFonts w:ascii="宋体" w:hAnsi="Times New Roman" w:cs="Times New Roman"/>
      <w:b/>
      <w:kern w:val="2"/>
      <w:sz w:val="44"/>
      <w:szCs w:val="44"/>
    </w:rPr>
  </w:style>
  <w:style w:type="paragraph" w:styleId="10">
    <w:name w:val="Subtitle"/>
    <w:basedOn w:val="1"/>
    <w:next w:val="1"/>
    <w:link w:val="50"/>
    <w:qFormat/>
    <w:uiPriority w:val="11"/>
    <w:pPr>
      <w:spacing w:before="240" w:after="60" w:line="312" w:lineRule="auto"/>
      <w:jc w:val="center"/>
      <w:outlineLvl w:val="1"/>
    </w:pPr>
    <w:rPr>
      <w:rFonts w:asciiTheme="minorHAnsi" w:hAnsiTheme="minorHAnsi" w:eastAsiaTheme="minorEastAsia"/>
      <w:b/>
      <w:bCs/>
      <w:kern w:val="28"/>
      <w:sz w:val="32"/>
      <w:szCs w:val="32"/>
    </w:rPr>
  </w:style>
  <w:style w:type="paragraph" w:styleId="11">
    <w:name w:val="toc 2"/>
    <w:basedOn w:val="1"/>
    <w:next w:val="1"/>
    <w:autoRedefine/>
    <w:unhideWhenUsed/>
    <w:qFormat/>
    <w:uiPriority w:val="39"/>
    <w:pPr>
      <w:spacing w:after="100"/>
      <w:ind w:left="220"/>
    </w:pPr>
    <w:rPr>
      <w:rFonts w:cs="Times New Roman" w:asciiTheme="minorHAnsi" w:hAnsiTheme="minorHAnsi" w:eastAsiaTheme="minorEastAsia"/>
    </w:rPr>
  </w:style>
  <w:style w:type="paragraph" w:styleId="12">
    <w:name w:val="Normal (Web)"/>
    <w:basedOn w:val="1"/>
    <w:unhideWhenUsed/>
    <w:qFormat/>
    <w:uiPriority w:val="99"/>
    <w:pPr>
      <w:spacing w:before="100" w:beforeAutospacing="1" w:after="100" w:afterAutospacing="1" w:line="240" w:lineRule="auto"/>
    </w:pPr>
    <w:rPr>
      <w:rFonts w:ascii="宋体" w:hAnsi="宋体" w:cs="宋体"/>
      <w:sz w:val="24"/>
      <w:szCs w:val="24"/>
    </w:rPr>
  </w:style>
  <w:style w:type="paragraph" w:styleId="13">
    <w:name w:val="annotation subject"/>
    <w:basedOn w:val="4"/>
    <w:next w:val="4"/>
    <w:link w:val="52"/>
    <w:semiHidden/>
    <w:unhideWhenUsed/>
    <w:qFormat/>
    <w:uiPriority w:val="99"/>
    <w:rPr>
      <w:b/>
      <w:bCs/>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bCs/>
    </w:rPr>
  </w:style>
  <w:style w:type="character" w:styleId="18">
    <w:name w:val="FollowedHyperlink"/>
    <w:basedOn w:val="16"/>
    <w:semiHidden/>
    <w:unhideWhenUsed/>
    <w:qFormat/>
    <w:uiPriority w:val="99"/>
    <w:rPr>
      <w:color w:val="954F72" w:themeColor="followedHyperlink"/>
      <w:u w:val="single"/>
      <w14:textFill>
        <w14:solidFill>
          <w14:schemeClr w14:val="folHlink"/>
        </w14:solidFill>
      </w14:textFill>
    </w:rPr>
  </w:style>
  <w:style w:type="character" w:styleId="19">
    <w:name w:val="Emphasis"/>
    <w:basedOn w:val="16"/>
    <w:qFormat/>
    <w:uiPriority w:val="20"/>
    <w:rPr>
      <w:i/>
      <w:iCs/>
    </w:rPr>
  </w:style>
  <w:style w:type="character" w:styleId="20">
    <w:name w:val="Hyperlink"/>
    <w:basedOn w:val="16"/>
    <w:unhideWhenUsed/>
    <w:qFormat/>
    <w:uiPriority w:val="99"/>
    <w:rPr>
      <w:color w:val="0000FF"/>
      <w:u w:val="single"/>
    </w:rPr>
  </w:style>
  <w:style w:type="character" w:styleId="21">
    <w:name w:val="annotation reference"/>
    <w:basedOn w:val="16"/>
    <w:semiHidden/>
    <w:unhideWhenUsed/>
    <w:qFormat/>
    <w:uiPriority w:val="99"/>
    <w:rPr>
      <w:sz w:val="21"/>
      <w:szCs w:val="21"/>
    </w:rPr>
  </w:style>
  <w:style w:type="paragraph" w:styleId="22">
    <w:name w:val="List Paragraph"/>
    <w:basedOn w:val="1"/>
    <w:qFormat/>
    <w:uiPriority w:val="34"/>
    <w:pPr>
      <w:ind w:firstLine="420" w:firstLineChars="200"/>
    </w:pPr>
  </w:style>
  <w:style w:type="paragraph" w:customStyle="1" w:styleId="23">
    <w:name w:val="Default"/>
    <w:qFormat/>
    <w:uiPriority w:val="0"/>
    <w:pPr>
      <w:widowControl w:val="0"/>
      <w:autoSpaceDE w:val="0"/>
      <w:autoSpaceDN w:val="0"/>
      <w:adjustRightInd w:val="0"/>
    </w:pPr>
    <w:rPr>
      <w:rFonts w:ascii="仿宋_GB2312" w:eastAsia="仿宋_GB2312" w:cs="仿宋_GB2312" w:hAnsiTheme="minorHAnsi"/>
      <w:color w:val="000000"/>
      <w:kern w:val="0"/>
      <w:sz w:val="24"/>
      <w:szCs w:val="24"/>
      <w:lang w:val="en-US" w:eastAsia="zh-CN" w:bidi="ar-SA"/>
    </w:rPr>
  </w:style>
  <w:style w:type="character" w:customStyle="1" w:styleId="24">
    <w:name w:val="页眉 字符"/>
    <w:basedOn w:val="16"/>
    <w:link w:val="8"/>
    <w:qFormat/>
    <w:uiPriority w:val="99"/>
    <w:rPr>
      <w:rFonts w:ascii="Georgia" w:hAnsi="Georgia" w:eastAsia="宋体"/>
      <w:kern w:val="0"/>
      <w:sz w:val="18"/>
      <w:szCs w:val="18"/>
    </w:rPr>
  </w:style>
  <w:style w:type="character" w:customStyle="1" w:styleId="25">
    <w:name w:val="页脚 字符"/>
    <w:basedOn w:val="16"/>
    <w:link w:val="7"/>
    <w:qFormat/>
    <w:uiPriority w:val="99"/>
    <w:rPr>
      <w:rFonts w:ascii="Georgia" w:hAnsi="Georgia" w:eastAsia="宋体"/>
      <w:kern w:val="0"/>
      <w:sz w:val="18"/>
      <w:szCs w:val="18"/>
    </w:rPr>
  </w:style>
  <w:style w:type="character" w:customStyle="1" w:styleId="26">
    <w:name w:val="fontstyle01"/>
    <w:basedOn w:val="16"/>
    <w:qFormat/>
    <w:uiPriority w:val="0"/>
    <w:rPr>
      <w:rFonts w:hint="default" w:ascii="MicrosoftYaHei-Bold" w:hAnsi="MicrosoftYaHei-Bold"/>
      <w:b/>
      <w:bCs/>
      <w:color w:val="FFFFFF"/>
      <w:sz w:val="32"/>
      <w:szCs w:val="32"/>
    </w:rPr>
  </w:style>
  <w:style w:type="character" w:customStyle="1" w:styleId="27">
    <w:name w:val="fontstyle21"/>
    <w:basedOn w:val="16"/>
    <w:qFormat/>
    <w:uiPriority w:val="0"/>
    <w:rPr>
      <w:rFonts w:hint="eastAsia" w:ascii="华文楷体" w:hAnsi="华文楷体" w:eastAsia="华文楷体"/>
      <w:color w:val="000000"/>
      <w:sz w:val="28"/>
      <w:szCs w:val="28"/>
    </w:rPr>
  </w:style>
  <w:style w:type="paragraph" w:customStyle="1" w:styleId="28">
    <w:name w:val="规章制度"/>
    <w:basedOn w:val="1"/>
    <w:link w:val="29"/>
    <w:qFormat/>
    <w:uiPriority w:val="0"/>
    <w:pPr>
      <w:widowControl w:val="0"/>
      <w:numPr>
        <w:ilvl w:val="0"/>
        <w:numId w:val="1"/>
      </w:numPr>
      <w:snapToGrid w:val="0"/>
      <w:spacing w:after="0" w:line="560" w:lineRule="exact"/>
      <w:jc w:val="both"/>
      <w:outlineLvl w:val="0"/>
    </w:pPr>
    <w:rPr>
      <w:rFonts w:ascii="仿宋_GB2312" w:hAnsi="华文楷体" w:eastAsia="仿宋_GB2312" w:cs="Times New Roman"/>
      <w:kern w:val="2"/>
      <w:sz w:val="32"/>
      <w:szCs w:val="32"/>
    </w:rPr>
  </w:style>
  <w:style w:type="character" w:customStyle="1" w:styleId="29">
    <w:name w:val="规章制度 Char"/>
    <w:basedOn w:val="16"/>
    <w:link w:val="28"/>
    <w:qFormat/>
    <w:uiPriority w:val="0"/>
    <w:rPr>
      <w:rFonts w:ascii="仿宋_GB2312" w:hAnsi="华文楷体" w:eastAsia="仿宋_GB2312" w:cs="Times New Roman"/>
      <w:sz w:val="32"/>
      <w:szCs w:val="32"/>
    </w:rPr>
  </w:style>
  <w:style w:type="character" w:customStyle="1" w:styleId="30">
    <w:name w:val="批注框文本 字符"/>
    <w:basedOn w:val="16"/>
    <w:link w:val="6"/>
    <w:semiHidden/>
    <w:qFormat/>
    <w:uiPriority w:val="99"/>
    <w:rPr>
      <w:rFonts w:ascii="Georgia" w:hAnsi="Georgia" w:eastAsia="宋体"/>
      <w:kern w:val="0"/>
      <w:sz w:val="18"/>
      <w:szCs w:val="18"/>
    </w:rPr>
  </w:style>
  <w:style w:type="paragraph" w:customStyle="1" w:styleId="31">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kern w:val="0"/>
      <w:sz w:val="52"/>
      <w:szCs w:val="20"/>
      <w:lang w:val="en-US" w:eastAsia="zh-CN" w:bidi="ar-SA"/>
    </w:rPr>
  </w:style>
  <w:style w:type="paragraph" w:customStyle="1" w:styleId="32">
    <w:name w:val="段"/>
    <w:link w:val="33"/>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kern w:val="0"/>
      <w:sz w:val="21"/>
      <w:szCs w:val="20"/>
      <w:lang w:val="en-US" w:eastAsia="zh-CN" w:bidi="ar-SA"/>
    </w:rPr>
  </w:style>
  <w:style w:type="character" w:customStyle="1" w:styleId="33">
    <w:name w:val="段 Char"/>
    <w:basedOn w:val="16"/>
    <w:link w:val="32"/>
    <w:qFormat/>
    <w:uiPriority w:val="0"/>
    <w:rPr>
      <w:rFonts w:ascii="宋体" w:hAnsi="Times New Roman" w:eastAsia="宋体" w:cs="Times New Roman"/>
      <w:kern w:val="0"/>
      <w:szCs w:val="20"/>
    </w:rPr>
  </w:style>
  <w:style w:type="paragraph" w:customStyle="1" w:styleId="34">
    <w:name w:val="目次、标准名称标题"/>
    <w:basedOn w:val="1"/>
    <w:next w:val="32"/>
    <w:qFormat/>
    <w:uiPriority w:val="0"/>
    <w:pPr>
      <w:keepNext/>
      <w:pageBreakBefore/>
      <w:shd w:val="clear" w:color="FFFFFF" w:fill="FFFFFF"/>
      <w:spacing w:before="640" w:after="560" w:line="460" w:lineRule="exact"/>
      <w:jc w:val="center"/>
      <w:outlineLvl w:val="0"/>
    </w:pPr>
    <w:rPr>
      <w:rFonts w:ascii="黑体" w:hAnsi="Times New Roman" w:eastAsia="黑体" w:cs="Times New Roman"/>
      <w:sz w:val="32"/>
      <w:szCs w:val="20"/>
    </w:rPr>
  </w:style>
  <w:style w:type="paragraph" w:customStyle="1" w:styleId="35">
    <w:name w:val="一级条标题"/>
    <w:next w:val="32"/>
    <w:qFormat/>
    <w:uiPriority w:val="0"/>
    <w:pPr>
      <w:numPr>
        <w:ilvl w:val="1"/>
        <w:numId w:val="2"/>
      </w:numPr>
      <w:spacing w:beforeLines="50" w:afterLines="50"/>
      <w:outlineLvl w:val="2"/>
    </w:pPr>
    <w:rPr>
      <w:rFonts w:ascii="黑体" w:hAnsi="Times New Roman" w:eastAsia="黑体" w:cs="Times New Roman"/>
      <w:kern w:val="0"/>
      <w:sz w:val="21"/>
      <w:szCs w:val="21"/>
      <w:lang w:val="en-US" w:eastAsia="zh-CN" w:bidi="ar-SA"/>
    </w:rPr>
  </w:style>
  <w:style w:type="paragraph" w:customStyle="1" w:styleId="36">
    <w:name w:val="章标题"/>
    <w:next w:val="32"/>
    <w:qFormat/>
    <w:uiPriority w:val="0"/>
    <w:pPr>
      <w:numPr>
        <w:ilvl w:val="0"/>
        <w:numId w:val="2"/>
      </w:numPr>
      <w:spacing w:beforeLines="100" w:afterLines="100"/>
      <w:jc w:val="both"/>
      <w:outlineLvl w:val="1"/>
    </w:pPr>
    <w:rPr>
      <w:rFonts w:ascii="黑体" w:hAnsi="Times New Roman" w:eastAsia="黑体" w:cs="Times New Roman"/>
      <w:kern w:val="0"/>
      <w:sz w:val="21"/>
      <w:szCs w:val="20"/>
      <w:lang w:val="en-US" w:eastAsia="zh-CN" w:bidi="ar-SA"/>
    </w:rPr>
  </w:style>
  <w:style w:type="paragraph" w:customStyle="1" w:styleId="37">
    <w:name w:val="二级条标题"/>
    <w:basedOn w:val="35"/>
    <w:next w:val="32"/>
    <w:qFormat/>
    <w:uiPriority w:val="0"/>
    <w:pPr>
      <w:numPr>
        <w:ilvl w:val="2"/>
      </w:numPr>
      <w:spacing w:before="50" w:after="50"/>
      <w:outlineLvl w:val="3"/>
    </w:pPr>
  </w:style>
  <w:style w:type="paragraph" w:customStyle="1" w:styleId="38">
    <w:name w:val="列项——（一级）"/>
    <w:qFormat/>
    <w:uiPriority w:val="0"/>
    <w:pPr>
      <w:widowControl w:val="0"/>
      <w:numPr>
        <w:ilvl w:val="0"/>
        <w:numId w:val="3"/>
      </w:numPr>
      <w:jc w:val="both"/>
    </w:pPr>
    <w:rPr>
      <w:rFonts w:ascii="宋体" w:hAnsi="Times New Roman" w:eastAsia="宋体" w:cs="Times New Roman"/>
      <w:kern w:val="0"/>
      <w:sz w:val="21"/>
      <w:szCs w:val="20"/>
      <w:lang w:val="en-US" w:eastAsia="zh-CN" w:bidi="ar-SA"/>
    </w:rPr>
  </w:style>
  <w:style w:type="paragraph" w:customStyle="1" w:styleId="39">
    <w:name w:val="列项●（二级）"/>
    <w:qFormat/>
    <w:uiPriority w:val="0"/>
    <w:pPr>
      <w:numPr>
        <w:ilvl w:val="1"/>
        <w:numId w:val="3"/>
      </w:numPr>
      <w:tabs>
        <w:tab w:val="left" w:pos="840"/>
      </w:tabs>
      <w:jc w:val="both"/>
    </w:pPr>
    <w:rPr>
      <w:rFonts w:ascii="宋体" w:hAnsi="Times New Roman" w:eastAsia="宋体" w:cs="Times New Roman"/>
      <w:kern w:val="0"/>
      <w:sz w:val="21"/>
      <w:szCs w:val="20"/>
      <w:lang w:val="en-US" w:eastAsia="zh-CN" w:bidi="ar-SA"/>
    </w:rPr>
  </w:style>
  <w:style w:type="paragraph" w:customStyle="1" w:styleId="40">
    <w:name w:val="三级条标题"/>
    <w:basedOn w:val="37"/>
    <w:next w:val="32"/>
    <w:qFormat/>
    <w:uiPriority w:val="0"/>
    <w:pPr>
      <w:numPr>
        <w:ilvl w:val="3"/>
      </w:numPr>
      <w:outlineLvl w:val="4"/>
    </w:pPr>
  </w:style>
  <w:style w:type="paragraph" w:customStyle="1" w:styleId="41">
    <w:name w:val="四级条标题"/>
    <w:basedOn w:val="40"/>
    <w:next w:val="32"/>
    <w:qFormat/>
    <w:uiPriority w:val="0"/>
    <w:pPr>
      <w:numPr>
        <w:ilvl w:val="4"/>
      </w:numPr>
      <w:outlineLvl w:val="5"/>
    </w:pPr>
  </w:style>
  <w:style w:type="paragraph" w:customStyle="1" w:styleId="42">
    <w:name w:val="五级条标题"/>
    <w:basedOn w:val="41"/>
    <w:next w:val="32"/>
    <w:qFormat/>
    <w:uiPriority w:val="0"/>
    <w:pPr>
      <w:numPr>
        <w:ilvl w:val="5"/>
      </w:numPr>
      <w:outlineLvl w:val="6"/>
    </w:pPr>
  </w:style>
  <w:style w:type="paragraph" w:customStyle="1" w:styleId="43">
    <w:name w:val="列项◆（三级）"/>
    <w:basedOn w:val="1"/>
    <w:qFormat/>
    <w:uiPriority w:val="0"/>
    <w:pPr>
      <w:widowControl w:val="0"/>
      <w:numPr>
        <w:ilvl w:val="2"/>
        <w:numId w:val="3"/>
      </w:numPr>
      <w:spacing w:after="0" w:line="240" w:lineRule="auto"/>
      <w:jc w:val="both"/>
    </w:pPr>
    <w:rPr>
      <w:rFonts w:ascii="宋体" w:hAnsi="Times New Roman" w:cs="Times New Roman"/>
      <w:kern w:val="2"/>
      <w:sz w:val="21"/>
      <w:szCs w:val="21"/>
    </w:rPr>
  </w:style>
  <w:style w:type="paragraph" w:customStyle="1" w:styleId="44">
    <w:name w:val="一级无"/>
    <w:basedOn w:val="35"/>
    <w:qFormat/>
    <w:uiPriority w:val="0"/>
    <w:pPr>
      <w:spacing w:beforeLines="0" w:afterLines="0"/>
    </w:pPr>
    <w:rPr>
      <w:rFonts w:ascii="宋体" w:eastAsia="宋体"/>
    </w:rPr>
  </w:style>
  <w:style w:type="character" w:customStyle="1" w:styleId="45">
    <w:name w:val="标题 2 字符"/>
    <w:basedOn w:val="16"/>
    <w:link w:val="3"/>
    <w:semiHidden/>
    <w:qFormat/>
    <w:uiPriority w:val="0"/>
    <w:rPr>
      <w:rFonts w:ascii="Arial" w:hAnsi="Arial" w:eastAsia="黑体" w:cs="Times New Roman"/>
      <w:b/>
      <w:bCs/>
      <w:sz w:val="32"/>
      <w:szCs w:val="32"/>
    </w:rPr>
  </w:style>
  <w:style w:type="paragraph" w:customStyle="1" w:styleId="46">
    <w:name w:val="条文"/>
    <w:basedOn w:val="28"/>
    <w:link w:val="47"/>
    <w:qFormat/>
    <w:uiPriority w:val="0"/>
    <w:pPr>
      <w:numPr>
        <w:numId w:val="0"/>
      </w:numPr>
      <w:ind w:firstLine="640" w:firstLineChars="200"/>
    </w:pPr>
  </w:style>
  <w:style w:type="character" w:customStyle="1" w:styleId="47">
    <w:name w:val="条文 Char"/>
    <w:basedOn w:val="29"/>
    <w:link w:val="46"/>
    <w:qFormat/>
    <w:uiPriority w:val="0"/>
    <w:rPr>
      <w:rFonts w:ascii="仿宋_GB2312" w:hAnsi="华文楷体" w:eastAsia="仿宋_GB2312" w:cs="Times New Roman"/>
      <w:sz w:val="32"/>
      <w:szCs w:val="32"/>
    </w:rPr>
  </w:style>
  <w:style w:type="character" w:customStyle="1" w:styleId="48">
    <w:name w:val="标题 1 字符"/>
    <w:basedOn w:val="16"/>
    <w:link w:val="2"/>
    <w:qFormat/>
    <w:uiPriority w:val="9"/>
    <w:rPr>
      <w:rFonts w:ascii="Georgia" w:hAnsi="Georgia" w:eastAsia="宋体"/>
      <w:b/>
      <w:bCs/>
      <w:kern w:val="44"/>
      <w:sz w:val="44"/>
      <w:szCs w:val="44"/>
    </w:rPr>
  </w:style>
  <w:style w:type="paragraph" w:customStyle="1" w:styleId="49">
    <w:name w:val="TOC Heading"/>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50">
    <w:name w:val="副标题 字符"/>
    <w:basedOn w:val="16"/>
    <w:link w:val="10"/>
    <w:qFormat/>
    <w:uiPriority w:val="11"/>
    <w:rPr>
      <w:b/>
      <w:bCs/>
      <w:kern w:val="28"/>
      <w:sz w:val="32"/>
      <w:szCs w:val="32"/>
    </w:rPr>
  </w:style>
  <w:style w:type="character" w:customStyle="1" w:styleId="51">
    <w:name w:val="批注文字 字符"/>
    <w:basedOn w:val="16"/>
    <w:link w:val="4"/>
    <w:semiHidden/>
    <w:qFormat/>
    <w:uiPriority w:val="99"/>
    <w:rPr>
      <w:rFonts w:ascii="Georgia" w:hAnsi="Georgia" w:eastAsia="宋体"/>
      <w:kern w:val="0"/>
      <w:sz w:val="22"/>
    </w:rPr>
  </w:style>
  <w:style w:type="character" w:customStyle="1" w:styleId="52">
    <w:name w:val="批注主题 字符"/>
    <w:basedOn w:val="51"/>
    <w:link w:val="13"/>
    <w:semiHidden/>
    <w:qFormat/>
    <w:uiPriority w:val="99"/>
    <w:rPr>
      <w:rFonts w:ascii="Georgia" w:hAnsi="Georgia" w:eastAsia="宋体"/>
      <w:b/>
      <w:bCs/>
      <w:kern w:val="0"/>
      <w:sz w:val="2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39E2B8-5BF5-4467-8583-52FE9832F635}">
  <ds:schemaRefs/>
</ds:datastoreItem>
</file>

<file path=docProps/app.xml><?xml version="1.0" encoding="utf-8"?>
<Properties xmlns="http://schemas.openxmlformats.org/officeDocument/2006/extended-properties" xmlns:vt="http://schemas.openxmlformats.org/officeDocument/2006/docPropsVTypes">
  <Template>Normal</Template>
  <Pages>5</Pages>
  <Words>2127</Words>
  <Characters>2253</Characters>
  <Lines>15</Lines>
  <Paragraphs>4</Paragraphs>
  <TotalTime>2</TotalTime>
  <ScaleCrop>false</ScaleCrop>
  <LinksUpToDate>false</LinksUpToDate>
  <CharactersWithSpaces>2271</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2023-06-27T13:44:00Z</dcterms:created>
  <dc:creator>Jiao Peng 焦鹏</dc:creator>
  <cp:lastModifiedBy>咨询组</cp:lastModifiedBy>
  <cp:lastPrinted>2022-12-28T03:00:00Z</cp:lastPrinted>
  <dcterms:modified xsi:type="dcterms:W3CDTF">2026-07-21T13:12:36Z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eyJoZGlkIjoiNTczMjFkOTg2NmFkODFlN2M4Y2NiYTU4NmY3NjZkYWMiLCJ1c2VySWQiOiIzMjk4MjQ5NDkifQ==</vt:lpwstr>
  </property>
  <property fmtid="{D5CDD505-2E9C-101B-9397-08002B2CF9AE}" pid="3" name="KSOProductBuildVer">
    <vt:lpwstr>2052-12.1.0.26381</vt:lpwstr>
  </property>
  <property fmtid="{D5CDD505-2E9C-101B-9397-08002B2CF9AE}" pid="4" name="ICV">
    <vt:lpwstr>3F3428E90C7B45828C6FFB6C54D9F280_12</vt:lpwstr>
  </property>
</Properties>
</file>