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EDE218" w14:textId="726C4CD8" w:rsidR="00AB25D1" w:rsidRPr="00131D0E" w:rsidRDefault="00613A43" w:rsidP="00131D0E">
      <w:pPr>
        <w:pStyle w:val="Ttulos"/>
      </w:pPr>
      <w:r>
        <w:rPr>
          <w:rFonts w:eastAsia="Times New Roman" w:cs="Times New Roman"/>
          <w:color w:val="000000"/>
          <w:szCs w:val="40"/>
        </w:rPr>
        <w:t>Modelo de despacho económico considerando despacho intradiario</w:t>
      </w:r>
    </w:p>
    <w:p w14:paraId="1507A1FD" w14:textId="332D2915" w:rsidR="00732B54" w:rsidRPr="00711CF6" w:rsidRDefault="00711CF6" w:rsidP="004E525F">
      <w:pPr>
        <w:spacing w:line="240" w:lineRule="auto"/>
        <w:jc w:val="center"/>
        <w:rPr>
          <w:rFonts w:ascii="Times New Roman" w:hAnsi="Times New Roman" w:cs="Times New Roman"/>
          <w:sz w:val="20"/>
          <w:szCs w:val="20"/>
          <w:lang w:val="es-ES"/>
        </w:rPr>
        <w:sectPr w:rsidR="00732B54" w:rsidRPr="00711CF6">
          <w:pgSz w:w="12240" w:h="15840"/>
          <w:pgMar w:top="1417" w:right="1701" w:bottom="1417" w:left="1701" w:header="708" w:footer="708" w:gutter="0"/>
          <w:cols w:space="708"/>
          <w:docGrid w:linePitch="360"/>
        </w:sectPr>
      </w:pPr>
      <w:r>
        <w:rPr>
          <w:rFonts w:ascii="Times New Roman" w:hAnsi="Times New Roman" w:cs="Times New Roman"/>
          <w:sz w:val="20"/>
          <w:szCs w:val="20"/>
          <w:lang w:val="es-ES"/>
        </w:rPr>
        <w:t xml:space="preserve">V. Álvarez, </w:t>
      </w:r>
      <w:r>
        <w:rPr>
          <w:rFonts w:ascii="Times New Roman" w:hAnsi="Times New Roman" w:cs="Times New Roman"/>
          <w:i/>
          <w:iCs/>
          <w:sz w:val="20"/>
          <w:szCs w:val="20"/>
          <w:lang w:val="es-ES"/>
        </w:rPr>
        <w:t xml:space="preserve">Estudiante Universidad de Antioquia; </w:t>
      </w:r>
      <w:r w:rsidR="00536B29">
        <w:rPr>
          <w:rFonts w:ascii="Times New Roman" w:hAnsi="Times New Roman" w:cs="Times New Roman"/>
          <w:sz w:val="20"/>
          <w:szCs w:val="20"/>
          <w:lang w:val="es-ES"/>
        </w:rPr>
        <w:t>A</w:t>
      </w:r>
      <w:r w:rsidR="00732B54">
        <w:rPr>
          <w:rFonts w:ascii="Times New Roman" w:hAnsi="Times New Roman" w:cs="Times New Roman"/>
          <w:sz w:val="20"/>
          <w:szCs w:val="20"/>
          <w:lang w:val="es-ES"/>
        </w:rPr>
        <w:t xml:space="preserve">. </w:t>
      </w:r>
      <w:r w:rsidR="00536B29">
        <w:rPr>
          <w:rFonts w:ascii="Times New Roman" w:hAnsi="Times New Roman" w:cs="Times New Roman"/>
          <w:sz w:val="20"/>
          <w:szCs w:val="20"/>
          <w:lang w:val="es-ES"/>
        </w:rPr>
        <w:t>Cerón</w:t>
      </w:r>
      <w:r w:rsidR="00732B54">
        <w:rPr>
          <w:rFonts w:ascii="Times New Roman" w:hAnsi="Times New Roman" w:cs="Times New Roman"/>
          <w:sz w:val="20"/>
          <w:szCs w:val="20"/>
          <w:lang w:val="es-ES"/>
        </w:rPr>
        <w:t xml:space="preserve">, </w:t>
      </w:r>
      <w:r w:rsidR="00732B54">
        <w:rPr>
          <w:rFonts w:ascii="Times New Roman" w:hAnsi="Times New Roman" w:cs="Times New Roman"/>
          <w:i/>
          <w:iCs/>
          <w:sz w:val="20"/>
          <w:szCs w:val="20"/>
          <w:lang w:val="es-ES"/>
        </w:rPr>
        <w:t xml:space="preserve">Estudiante </w:t>
      </w:r>
      <w:r>
        <w:rPr>
          <w:rFonts w:ascii="Times New Roman" w:hAnsi="Times New Roman" w:cs="Times New Roman"/>
          <w:i/>
          <w:iCs/>
          <w:sz w:val="20"/>
          <w:szCs w:val="20"/>
          <w:lang w:val="es-ES"/>
        </w:rPr>
        <w:t>Universidad de Antioquia</w:t>
      </w:r>
      <w:r>
        <w:rPr>
          <w:rFonts w:ascii="Times New Roman" w:hAnsi="Times New Roman" w:cs="Times New Roman"/>
          <w:sz w:val="20"/>
          <w:szCs w:val="20"/>
          <w:lang w:val="es-ES"/>
        </w:rPr>
        <w:t xml:space="preserve">; J. Mendoza, </w:t>
      </w:r>
      <w:r>
        <w:rPr>
          <w:rFonts w:ascii="Times New Roman" w:hAnsi="Times New Roman" w:cs="Times New Roman"/>
          <w:i/>
          <w:iCs/>
          <w:sz w:val="20"/>
          <w:szCs w:val="20"/>
          <w:lang w:val="es-ES"/>
        </w:rPr>
        <w:t>Estudiante Universidad de Antioquia.</w:t>
      </w:r>
      <w:r w:rsidR="00732B54">
        <w:rPr>
          <w:rFonts w:ascii="Times New Roman" w:hAnsi="Times New Roman" w:cs="Times New Roman"/>
          <w:sz w:val="20"/>
          <w:szCs w:val="20"/>
          <w:lang w:val="es-ES"/>
        </w:rPr>
        <w:t xml:space="preserve"> </w:t>
      </w:r>
      <w:r>
        <w:rPr>
          <w:rFonts w:ascii="Times New Roman" w:hAnsi="Times New Roman" w:cs="Times New Roman"/>
          <w:i/>
          <w:iCs/>
          <w:sz w:val="20"/>
          <w:szCs w:val="20"/>
          <w:lang w:val="es-ES"/>
        </w:rPr>
        <w:t xml:space="preserve"> </w:t>
      </w:r>
      <w:r>
        <w:rPr>
          <w:rFonts w:ascii="Times New Roman" w:hAnsi="Times New Roman" w:cs="Times New Roman"/>
          <w:sz w:val="20"/>
          <w:szCs w:val="20"/>
          <w:lang w:val="es-ES"/>
        </w:rPr>
        <w:t xml:space="preserve"> </w:t>
      </w:r>
    </w:p>
    <w:p w14:paraId="60DE36A2" w14:textId="09ABB332" w:rsidR="00732B54" w:rsidRPr="00131D0E" w:rsidRDefault="00536B29" w:rsidP="00131D0E">
      <w:pPr>
        <w:pStyle w:val="IEEEResumenypalabrasclave"/>
      </w:pPr>
      <w:r>
        <w:rPr>
          <w:i/>
        </w:rPr>
        <w:t>Resumen</w:t>
      </w:r>
      <w:r>
        <w:t>—</w:t>
      </w:r>
      <w:r w:rsidR="00C03311">
        <w:t>Los recursos de generación variables, como las plantas solares y l</w:t>
      </w:r>
      <w:r w:rsidR="006D4E69">
        <w:t>o</w:t>
      </w:r>
      <w:r w:rsidR="00C03311">
        <w:t xml:space="preserve">s </w:t>
      </w:r>
      <w:r w:rsidR="006D4E69">
        <w:t xml:space="preserve">parques </w:t>
      </w:r>
      <w:r w:rsidR="00C03311">
        <w:t>eólic</w:t>
      </w:r>
      <w:r w:rsidR="006D4E69">
        <w:t>o</w:t>
      </w:r>
      <w:r w:rsidR="00C03311">
        <w:t xml:space="preserve">s, están cada vez más presentes en la actualidad. Estos recursos brindan </w:t>
      </w:r>
      <w:r w:rsidR="0096328B">
        <w:t>diversidad a la matriz de generación colombiana, lo cual es importante para tener suministro</w:t>
      </w:r>
      <w:r w:rsidR="00C8349E">
        <w:t>s</w:t>
      </w:r>
      <w:r w:rsidR="0096328B">
        <w:t xml:space="preserve"> </w:t>
      </w:r>
      <w:r w:rsidR="00C8349E">
        <w:t>disponibles</w:t>
      </w:r>
      <w:r w:rsidR="0096328B">
        <w:t xml:space="preserve"> de energía</w:t>
      </w:r>
      <w:r w:rsidR="00C8349E">
        <w:t xml:space="preserve"> frente a las adversidades climatológicas</w:t>
      </w:r>
      <w:r w:rsidR="0096328B">
        <w:t>, pero est</w:t>
      </w:r>
      <w:r w:rsidR="00C8349E">
        <w:t>o</w:t>
      </w:r>
      <w:r w:rsidR="0096328B">
        <w:t xml:space="preserve">s presentan intermitencias debido a su naturaleza variable y la incertidumbre asociada a estos recursos significa riesgo económico. Para lograr </w:t>
      </w:r>
      <w:r w:rsidR="00C8349E">
        <w:t>incluirlas</w:t>
      </w:r>
      <w:r w:rsidR="0096328B">
        <w:t xml:space="preserve"> de forma segura en el Sistema Interconectado Nacional</w:t>
      </w:r>
      <w:r w:rsidR="006D4E69">
        <w:t xml:space="preserve"> y que los despachos de energía </w:t>
      </w:r>
      <w:r w:rsidR="00C8349E">
        <w:t xml:space="preserve">resultantes </w:t>
      </w:r>
      <w:r w:rsidR="006D4E69">
        <w:t xml:space="preserve">sean viables y factibles, </w:t>
      </w:r>
      <w:r w:rsidR="0096328B">
        <w:t xml:space="preserve">es necesario </w:t>
      </w:r>
      <w:r w:rsidR="006D4E69">
        <w:t>integrar</w:t>
      </w:r>
      <w:r w:rsidR="0096328B">
        <w:t xml:space="preserve"> </w:t>
      </w:r>
      <w:r w:rsidR="006D4E69">
        <w:t>elementos nuevos de mercados eléctricos</w:t>
      </w:r>
      <w:r w:rsidR="0096328B">
        <w:t xml:space="preserve"> al esquema actual de</w:t>
      </w:r>
      <w:r w:rsidR="006D4E69">
        <w:t>l Mercado de Energía Mayorista</w:t>
      </w:r>
      <w:r w:rsidR="0096328B">
        <w:t xml:space="preserve"> que permitan viabilizar estas fuentes de energía renovable no convencionales</w:t>
      </w:r>
      <w:r w:rsidR="006D4E69">
        <w:t xml:space="preserve"> (FERNC)</w:t>
      </w:r>
      <w:r w:rsidR="0096328B">
        <w:t xml:space="preserve">. Para esto, se </w:t>
      </w:r>
      <w:r w:rsidR="006D4E69">
        <w:t>utiliza</w:t>
      </w:r>
      <w:r w:rsidR="0096328B">
        <w:t xml:space="preserve"> un modelo</w:t>
      </w:r>
      <w:r w:rsidR="00C22F56">
        <w:t xml:space="preserve"> matemático</w:t>
      </w:r>
      <w:r w:rsidR="0096328B">
        <w:t xml:space="preserve"> de despacho económico consideran</w:t>
      </w:r>
      <w:r w:rsidR="006D4E69">
        <w:t xml:space="preserve">do despachos </w:t>
      </w:r>
      <w:proofErr w:type="spellStart"/>
      <w:r w:rsidR="006D4E69">
        <w:t>intradiarios</w:t>
      </w:r>
      <w:proofErr w:type="spellEnd"/>
      <w:r w:rsidR="006D4E69">
        <w:t xml:space="preserve"> que considere la inclusión de recursos solares y eólicos</w:t>
      </w:r>
      <w:r w:rsidR="00C22F56">
        <w:t xml:space="preserve">. El enfoque del presente artículo radica en la formulación de tal modelación matemática en el lenguaje Python </w:t>
      </w:r>
      <w:r w:rsidR="006D4E69">
        <w:t xml:space="preserve">para realizar simulaciones </w:t>
      </w:r>
      <w:r w:rsidR="00C22F56">
        <w:t xml:space="preserve">de despacho económico </w:t>
      </w:r>
      <w:r w:rsidR="006D4E69">
        <w:t>con estos nuevos recursos.</w:t>
      </w:r>
    </w:p>
    <w:p w14:paraId="5F2B589F" w14:textId="1CF3AC1F" w:rsidR="00536B29" w:rsidRDefault="00536B29" w:rsidP="00536B29">
      <w:pPr>
        <w:pStyle w:val="IEEEPrafo"/>
      </w:pPr>
    </w:p>
    <w:p w14:paraId="153EC14A" w14:textId="0C20838A" w:rsidR="00536B29" w:rsidRDefault="00536B29" w:rsidP="00881916">
      <w:pPr>
        <w:pStyle w:val="IEEEResumenypalabrasclave"/>
      </w:pPr>
      <w:r>
        <w:rPr>
          <w:i/>
        </w:rPr>
        <w:t>Palabras claves</w:t>
      </w:r>
      <w:r>
        <w:t>—</w:t>
      </w:r>
      <w:r w:rsidR="007303AB">
        <w:t xml:space="preserve">despacho económico, </w:t>
      </w:r>
      <w:r w:rsidR="00E65172">
        <w:t xml:space="preserve">despacho </w:t>
      </w:r>
      <w:proofErr w:type="spellStart"/>
      <w:r w:rsidR="00E65172">
        <w:t>intradiario</w:t>
      </w:r>
      <w:proofErr w:type="spellEnd"/>
      <w:r w:rsidR="00E65172">
        <w:t xml:space="preserve">, energía solar, intermitencia, </w:t>
      </w:r>
      <w:r w:rsidR="007303AB">
        <w:t xml:space="preserve">Python. </w:t>
      </w:r>
    </w:p>
    <w:p w14:paraId="4ADF1A22" w14:textId="5773DED6" w:rsidR="00131D0E" w:rsidRDefault="00536B29" w:rsidP="000D1B39">
      <w:pPr>
        <w:pStyle w:val="IEEENivel1"/>
      </w:pPr>
      <w:r>
        <w:t>INTRODUCCIÓN</w:t>
      </w:r>
    </w:p>
    <w:p w14:paraId="76E432A4" w14:textId="23D83F3D" w:rsidR="00613A43" w:rsidRDefault="00613A43" w:rsidP="00613A43">
      <w:pPr>
        <w:pStyle w:val="IEEEPrafo"/>
      </w:pPr>
      <w:r>
        <w:t xml:space="preserve">Colombia, por su amplia demanda eléctrica, su constante crecimiento industrial y su diversidad geográfica, es un país que posee una amplia matriz de generación de energía eléctrica, la cual está compuesta por varios tipos o fuentes de energía, tanto a pequeña como a gran escala: hidráulica, térmica, solar y eólica. Se destaca la primera, </w:t>
      </w:r>
      <w:r w:rsidR="00711CF6">
        <w:t xml:space="preserve">ya que presenta la mayoría </w:t>
      </w:r>
      <w:r>
        <w:t xml:space="preserve">de la capacidad instalada del país y, además, </w:t>
      </w:r>
      <w:r w:rsidR="00571132">
        <w:t>los recursos de generación basados en ella presentan precios</w:t>
      </w:r>
      <w:r>
        <w:t xml:space="preserve"> </w:t>
      </w:r>
      <w:r w:rsidR="00571132">
        <w:t xml:space="preserve">de oferta de generación </w:t>
      </w:r>
      <w:r>
        <w:t>comparativamente menor</w:t>
      </w:r>
      <w:r w:rsidR="00571132">
        <w:t>es</w:t>
      </w:r>
      <w:r>
        <w:t xml:space="preserve"> al resto</w:t>
      </w:r>
      <w:r w:rsidR="00571132">
        <w:t xml:space="preserve"> de </w:t>
      </w:r>
      <w:r w:rsidR="00A214F5">
        <w:t>las otras fuentes</w:t>
      </w:r>
      <w:r>
        <w:t xml:space="preserve">, </w:t>
      </w:r>
      <w:r w:rsidR="0054060F">
        <w:t>debido</w:t>
      </w:r>
      <w:r>
        <w:t xml:space="preserve"> a </w:t>
      </w:r>
      <w:r w:rsidR="0054060F">
        <w:t>la abundancia hídrica</w:t>
      </w:r>
      <w:r>
        <w:t xml:space="preserve"> nacional y la posición geográfica del territorio es privilegiada</w:t>
      </w:r>
      <w:r w:rsidR="00CE0465">
        <w:t xml:space="preserve"> </w:t>
      </w:r>
      <w:r w:rsidR="00CE0465">
        <w:fldChar w:fldCharType="begin" w:fldLock="1"/>
      </w:r>
      <w:r w:rsidR="00DF0E48">
        <w:instrText>ADDIN CSL_CITATION {"citationItems":[{"id":"ITEM-1","itemData":{"URL":"https://bit.ly/3FV0X4v","accessed":{"date-parts":[["2022","1","24"]]},"author":[{"dropping-particle":"","family":"PARATEC","given":"","non-dropping-particle":"","parse-names":false,"suffix":""},{"dropping-particle":"","family":"XM S.A. E.S.P.","given":"","non-dropping-particle":"","parse-names":false,"suffix":""}],"id":"ITEM-1","issued":{"date-parts":[["0"]]},"title":"Capacidad efectiva por tipo de generación","type":"webpage"},"uris":["http://www.mendeley.com/documents/?uuid=36856b14-e792-3422-91bf-c0d1a3ceddb0"]},{"id":"ITEM-2","itemData":{"URL":"https://www.acolgen.org.co/","accessed":{"date-parts":[["2021","5","10"]]},"author":[{"dropping-particle":"","family":"Asociación Colombiana de Generadores de Energía Eléctrica","given":"","non-dropping-particle":"","parse-names":false,"suffix":""}],"id":"ITEM-2","issued":{"date-parts":[["0"]]},"title":"Capacidad instalada en Colombia","type":"webpage"},"uris":["http://www.mendeley.com/documents/?uuid=d2d73653-5b78-350f-b02e-1f69c77ce0a0"]},{"id":"ITEM-3","itemData":{"DOI":"10.1016/j.renene.2019.10.066","abstract":"Colombia faces several challenges to secure a reliable, affordable, and climate-friendly energy supply. Persistently low reserve-to-production ratios in oil and gas, together with advancing climate change, are putting the country's energy system at risk. Heavily relying on hydro-power, Colombia's electricity system will become more vulnerable with extreme weather patterns such as El Ni~ no. This paper offers a multi-method study of the role of photovoltaic (PV), specially prosumage systems, to support a slowly starting energy transition in Colombia. First, qualitative data from an expert elicitation in Colombia's energy sector is analysed. Second, a model to calculate the internal rate of revenue for households is used to identify optimal sizes for household PV or prosumage systems under the new regulatory framework. Key concerns emerging from the expert elicitation include lacking substantial financial aid, insufficient tax incentives, and high equipment prices, which raise investment and operation costs. Also, model results confirm net-metering implementation as an enabler of widespread deployment of household PV systems. Most profitable system configurations include PV systems without storage technology. Our findings show that financial instruments are still insufficient to scale-up household level PV deployment.","author":[{"dropping-particle":"","family":"Ruíz L Opez","given":"Andrea","non-dropping-particle":"","parse-names":false,"suffix":""},{"dropping-particle":"","family":"Krumm","given":"Alexandra","non-dropping-particle":"","parse-names":false,"suffix":""},{"dropping-particle":"","family":"Schattenhofer","given":"Lukas","non-dropping-particle":"","parse-names":false,"suffix":""},{"dropping-particle":"","family":"Burandt","given":"Thorsten","non-dropping-particle":"","parse-names":false,"suffix":""},{"dropping-particle":"","family":"Corral Montoya","given":"Felipe","non-dropping-particle":"","parse-names":false,"suffix":""},{"dropping-particle":"","family":"Oberl","given":"Nora","non-dropping-particle":"","parse-names":false,"suffix":""},{"dropping-particle":"","family":"Oei","given":"Pao-Yu","non-dropping-particle":"","parse-names":false,"suffix":""}],"id":"ITEM-3","issued":{"date-parts":[["2019"]]},"title":"Solar PV generation in Colombia-A qualitative and quantitative approach to analyze the potential of solar energy market","type":"article-journal"},"uris":["http://www.mendeley.com/documents/?uuid=270ffcd2-4440-37ca-a2f8-62b47e91cb9e"]}],"mendeley":{"formattedCitation":"[1]–[3]","plainTextFormattedCitation":"[1]–[3]","previouslyFormattedCitation":"[1]–[3]"},"properties":{"noteIndex":0},"schema":"https://github.com/citation-style-language/schema/raw/master/csl-citation.json"}</w:instrText>
      </w:r>
      <w:r w:rsidR="00CE0465">
        <w:fldChar w:fldCharType="separate"/>
      </w:r>
      <w:r w:rsidR="00CE0465" w:rsidRPr="00CE0465">
        <w:rPr>
          <w:noProof/>
        </w:rPr>
        <w:t>[1]–[3]</w:t>
      </w:r>
      <w:r w:rsidR="00CE0465">
        <w:fldChar w:fldCharType="end"/>
      </w:r>
      <w:r w:rsidR="00CE0465">
        <w:t xml:space="preserve">. </w:t>
      </w:r>
      <w:r>
        <w:t xml:space="preserve">Otra fuente de energía importante para el país es la segunda mencionada (térmica), disponiendo de centrales situadas </w:t>
      </w:r>
      <w:r w:rsidR="0054060F">
        <w:t xml:space="preserve">mayoritariamente </w:t>
      </w:r>
      <w:r>
        <w:t xml:space="preserve">en las zonas costeras. Estas presentan </w:t>
      </w:r>
      <w:r w:rsidR="0054060F">
        <w:t xml:space="preserve">precios de oferta de generación </w:t>
      </w:r>
      <w:r>
        <w:t>comparativamente más elevado</w:t>
      </w:r>
      <w:r w:rsidR="0054060F">
        <w:t>s</w:t>
      </w:r>
      <w:r>
        <w:t xml:space="preserve"> que</w:t>
      </w:r>
      <w:r w:rsidR="0054060F">
        <w:t xml:space="preserve"> los de</w:t>
      </w:r>
      <w:r>
        <w:t xml:space="preserve"> las hidráulicas, ya que requieren de </w:t>
      </w:r>
      <w:r w:rsidR="0054060F">
        <w:t>combustibles</w:t>
      </w:r>
      <w:r>
        <w:t xml:space="preserve"> </w:t>
      </w:r>
      <w:r w:rsidR="0054060F">
        <w:t xml:space="preserve">fósiles y </w:t>
      </w:r>
      <w:r w:rsidR="00390586">
        <w:t>poseen</w:t>
      </w:r>
      <w:r w:rsidR="0054060F">
        <w:t xml:space="preserve"> costo de arranque </w:t>
      </w:r>
      <w:r w:rsidR="00390586">
        <w:t>elevados</w:t>
      </w:r>
      <w:r w:rsidR="00CE0465">
        <w:t xml:space="preserve"> </w:t>
      </w:r>
      <w:r w:rsidR="00DF0E48">
        <w:fldChar w:fldCharType="begin" w:fldLock="1"/>
      </w:r>
      <w:r w:rsidR="009B1D44">
        <w:instrText>ADDIN CSL_CITATION {"citationItems":[{"id":"ITEM-1","itemData":{"ISBN":"0471586994","abstract":"This book offers a practical, hands-on guide to theoretical developments and to the application of advanced operations research methods to realistic electric power engineering problems. This one-of-a-kind text also addresses the interaction between human and economic factors to prepare readers to make real-world decisions that go beyond the limits of mere technical calculations. The Second Edition features vital new material, including:","author":[{"dropping-particle":"","family":"Wood","given":"A J","non-dropping-particle":"","parse-names":false,"suffix":""},{"dropping-particle":"","family":"Wollenberg","given":"B F","non-dropping-particle":"","parse-names":false,"suffix":""}],"container-title":"John and Sons, , USA, Chap. 5","id":"ITEM-1","issued":{"date-parts":[["1996"]]},"title":"Power Generation Operation and Control","type":"book"},"uris":["http://www.mendeley.com/documents/?uuid=d83dd32d-35ee-4ba3-a9d0-6135992b5023"]}],"mendeley":{"formattedCitation":"[4]","plainTextFormattedCitation":"[4]","previouslyFormattedCitation":"[4]"},"properties":{"noteIndex":0},"schema":"https://github.com/citation-style-language/schema/raw/master/csl-citation.json"}</w:instrText>
      </w:r>
      <w:r w:rsidR="00DF0E48">
        <w:fldChar w:fldCharType="separate"/>
      </w:r>
      <w:r w:rsidR="00DF0E48" w:rsidRPr="00DF0E48">
        <w:rPr>
          <w:noProof/>
        </w:rPr>
        <w:t>[4]</w:t>
      </w:r>
      <w:r w:rsidR="00DF0E48">
        <w:fldChar w:fldCharType="end"/>
      </w:r>
      <w:r>
        <w:t>.</w:t>
      </w:r>
    </w:p>
    <w:p w14:paraId="2B77C6C6" w14:textId="0EA085B2" w:rsidR="00613A43" w:rsidRDefault="00613A43" w:rsidP="00613A43">
      <w:pPr>
        <w:pStyle w:val="IEEEPrafo"/>
      </w:pPr>
      <w:r>
        <w:t xml:space="preserve">El mercado eléctrico de Colombia inició a mediados de los años </w:t>
      </w:r>
      <w:r w:rsidR="00711CF6">
        <w:t>noventa</w:t>
      </w:r>
      <w:r>
        <w:t xml:space="preserve"> como respuesta del Estado a los percances presentados en el suministro de energía eléctrica durante el período de racionamiento (entre 1991 y 1992) y a la aplicación de las Leyes 142 y 143 de 1994. En dichas leyes, se hizo una reforma estructural al sector eléctrico incorporando la participación de actores privados en el suministro de la energía eléctrica, en el cual el Estado colombiano pasó del rol de </w:t>
      </w:r>
      <w:r>
        <w:t>proveedor del servicio a ser quien diseña las reglas del mercado eléctrico, creando nuevas entidades para la regulación, vigilancia y control del sector</w:t>
      </w:r>
      <w:r w:rsidR="009B1D44">
        <w:t xml:space="preserve"> </w:t>
      </w:r>
      <w:r w:rsidR="009B1D44">
        <w:fldChar w:fldCharType="begin" w:fldLock="1"/>
      </w:r>
      <w:r w:rsidR="009B1D44">
        <w:instrText>ADDIN CSL_CITATION {"citationItems":[{"id":"ITEM-1","itemData":{"DOI":"10.1016/j.estger.2014.02.008","ISSN":"26656744","abstract":"The development of the Colombian wholesale energy market has currently allowed it to trade electricity futures in local capital markets. This work aims to design a derivative, which has the price of electricity as the underlying. For this, we analyzed the time series of electricity price volatility modeling, and from this, an exotic barrier-type option was designed that shows how to use this type of financial products to cover risks from market agents.","author":[{"dropping-particle":"","family":"Contreras","given":"Jhon Alexis Díaz","non-dropping-particle":"","parse-names":false,"suffix":""},{"dropping-particle":"","family":"Villalba","given":"Gloría Inés Macías","non-dropping-particle":"","parse-names":false,"suffix":""},{"dropping-particle":"","family":"González","given":"Edgar Luna","non-dropping-particle":"","parse-names":false,"suffix":""}],"container-title":"Estudios Gerenciales","id":"ITEM-1","issue":"130","issued":{"date-parts":[["2014","1","1"]]},"page":"55-64","publisher":"Universidad Icesi","title":"Hedging strategy with products for the Colombian energy market","type":"article-journal","volume":"30"},"uris":["http://www.mendeley.com/documents/?uuid=420dc0de-9846-36b5-979f-35cea8b83af8"]}],"mendeley":{"formattedCitation":"[5]","plainTextFormattedCitation":"[5]","previouslyFormattedCitation":"[5]"},"properties":{"noteIndex":0},"schema":"https://github.com/citation-style-language/schema/raw/master/csl-citation.json"}</w:instrText>
      </w:r>
      <w:r w:rsidR="009B1D44">
        <w:fldChar w:fldCharType="separate"/>
      </w:r>
      <w:r w:rsidR="009B1D44" w:rsidRPr="009B1D44">
        <w:rPr>
          <w:noProof/>
        </w:rPr>
        <w:t>[5]</w:t>
      </w:r>
      <w:r w:rsidR="009B1D44">
        <w:fldChar w:fldCharType="end"/>
      </w:r>
      <w:r>
        <w:t>.</w:t>
      </w:r>
    </w:p>
    <w:p w14:paraId="2D1163E3" w14:textId="0564C7D5" w:rsidR="00613A43" w:rsidRDefault="00613A43" w:rsidP="00613A43">
      <w:pPr>
        <w:pStyle w:val="IEEEPrafo"/>
      </w:pPr>
      <w:r>
        <w:t xml:space="preserve">El diseño del mercado colombiano tuvo influencia de las reformas al sector eléctrico que se vivieron en Inglaterra en los </w:t>
      </w:r>
      <w:r w:rsidR="00723287">
        <w:t>ochenta</w:t>
      </w:r>
      <w:r>
        <w:t xml:space="preserve"> y no ha tenido cambios estructurales desde su creación. En Colombia existe un mercado spot llamado “bolsa de energía”, en el cual</w:t>
      </w:r>
      <w:r w:rsidR="00D03CB8">
        <w:t xml:space="preserve"> </w:t>
      </w:r>
      <w:r>
        <w:t xml:space="preserve">los generadores presentan </w:t>
      </w:r>
      <w:r w:rsidR="00D03CB8">
        <w:t xml:space="preserve">diariamente </w:t>
      </w:r>
      <w:r>
        <w:t>sus ofertas</w:t>
      </w:r>
      <w:r w:rsidR="00D03CB8">
        <w:t xml:space="preserve">, </w:t>
      </w:r>
      <w:r>
        <w:t>compitiendo por entregar su energía al sistema. Asimismo, cuenta con varios instrumentos para gestionar el riesgo de precio spot por medio de contratos bilaterales y derivados financieros. El precio spot se determina por medio de un despacho ideal donde no se tienen en cuenta las restricciones de la red y se hace un día después de la operación</w:t>
      </w:r>
      <w:r w:rsidR="009B1D44">
        <w:t xml:space="preserve"> </w:t>
      </w:r>
      <w:r w:rsidR="009B1D44">
        <w:fldChar w:fldCharType="begin" w:fldLock="1"/>
      </w:r>
      <w:r w:rsidR="009B1D44">
        <w:instrText>ADDIN CSL_CITATION {"citationItems":[{"id":"ITEM-1","itemData":{"DOI":"10.1016/j.estger.2014.02.008","ISSN":"26656744","abstract":"The development of the Colombian wholesale energy market has currently allowed it to trade electricity futures in local capital markets. This work aims to design a derivative, which has the price of electricity as the underlying. For this, we analyzed the time series of electricity price volatility modeling, and from this, an exotic barrier-type option was designed that shows how to use this type of financial products to cover risks from market agents.","author":[{"dropping-particle":"","family":"Contreras","given":"Jhon Alexis Díaz","non-dropping-particle":"","parse-names":false,"suffix":""},{"dropping-particle":"","family":"Villalba","given":"Gloría Inés Macías","non-dropping-particle":"","parse-names":false,"suffix":""},{"dropping-particle":"","family":"González","given":"Edgar Luna","non-dropping-particle":"","parse-names":false,"suffix":""}],"container-title":"Estudios Gerenciales","id":"ITEM-1","issue":"130","issued":{"date-parts":[["2014","1","1"]]},"page":"55-64","publisher":"Universidad Icesi","title":"Hedging strategy with products for the Colombian energy market","type":"article-journal","volume":"30"},"uris":["http://www.mendeley.com/documents/?uuid=420dc0de-9846-36b5-979f-35cea8b83af8"]}],"mendeley":{"formattedCitation":"[5]","plainTextFormattedCitation":"[5]","previouslyFormattedCitation":"[5]"},"properties":{"noteIndex":0},"schema":"https://github.com/citation-style-language/schema/raw/master/csl-citation.json"}</w:instrText>
      </w:r>
      <w:r w:rsidR="009B1D44">
        <w:fldChar w:fldCharType="separate"/>
      </w:r>
      <w:r w:rsidR="009B1D44" w:rsidRPr="009B1D44">
        <w:rPr>
          <w:noProof/>
        </w:rPr>
        <w:t>[5]</w:t>
      </w:r>
      <w:r w:rsidR="009B1D44">
        <w:fldChar w:fldCharType="end"/>
      </w:r>
      <w:r>
        <w:t>.</w:t>
      </w:r>
    </w:p>
    <w:p w14:paraId="371B9A23" w14:textId="65C4348B" w:rsidR="00C9319D" w:rsidRDefault="00C9319D" w:rsidP="00C9319D">
      <w:pPr>
        <w:pStyle w:val="IEEEPrafo"/>
      </w:pPr>
      <w:r>
        <w:t xml:space="preserve">El mercado está compuesto por generadores, transmisores, distribuidores, comercializadores y usuarios finales. El encargado de operar y administrar el Sistema Interconectado Nacional (SIN), bajo las figuras del Centro Nacional de Despacho (CND), del Administrador del Sistema de Intercambios Comerciales (ASIC) y del Liquidador y Administrador de Cuentas (LAC) en Colombia es XM </w:t>
      </w:r>
      <w:r>
        <w:fldChar w:fldCharType="begin" w:fldLock="1"/>
      </w:r>
      <w:r w:rsidR="004770FF">
        <w:instrText>ADDIN CSL_CITATION {"citationItems":[{"id":"ITEM-1","itemData":{"URL":"https://www.xm.com.co/nuestra-empresa/nosotros/que-hacemos","accessed":{"date-parts":[["2021","12","25"]]},"id":"ITEM-1","issued":{"date-parts":[["0"]]},"title":"XM: ¿Qué hacemos?","type":"webpage"},"uris":["http://www.mendeley.com/documents/?uuid=12837f0c-fd6d-3020-870c-7520ef489eee"]}],"mendeley":{"formattedCitation":"[6]","plainTextFormattedCitation":"[6]","previouslyFormattedCitation":"[6]"},"properties":{"noteIndex":0},"schema":"https://github.com/citation-style-language/schema/raw/master/csl-citation.json"}</w:instrText>
      </w:r>
      <w:r>
        <w:fldChar w:fldCharType="separate"/>
      </w:r>
      <w:r w:rsidR="004770FF" w:rsidRPr="004770FF">
        <w:rPr>
          <w:noProof/>
        </w:rPr>
        <w:t>[6]</w:t>
      </w:r>
      <w:r>
        <w:fldChar w:fldCharType="end"/>
      </w:r>
      <w:r>
        <w:t xml:space="preserve">. </w:t>
      </w:r>
    </w:p>
    <w:p w14:paraId="01AC32BC" w14:textId="2862EAEE" w:rsidR="00613A43" w:rsidRDefault="00613A43" w:rsidP="00613A43">
      <w:pPr>
        <w:pStyle w:val="IEEEPrafo"/>
      </w:pPr>
      <w:r>
        <w:t>En la actualidad</w:t>
      </w:r>
      <w:r w:rsidR="00711CF6">
        <w:t>,</w:t>
      </w:r>
      <w:r>
        <w:t xml:space="preserve"> los mercados de energía eléctrica con mayor evolución a nivel mundial han incorporado</w:t>
      </w:r>
      <w:r w:rsidR="00F03905">
        <w:t xml:space="preserve">, </w:t>
      </w:r>
      <w:r>
        <w:t>dentro de su mercado spot, instancias adicionales para negociar excedentes o faltantes de energía eléctrica cercanas al momento de atención de la demanda. Dichos mercados tienen una tendencia marcada, de modo que para</w:t>
      </w:r>
      <w:r w:rsidR="00711CF6">
        <w:t xml:space="preserve"> </w:t>
      </w:r>
      <w:r>
        <w:t xml:space="preserve">mercados ubicados en Estados Unidos se habla de mercados en tiempo real; en Europa, de mercados intradiarios. Dichos esquemas buscan una formación eficiente de precios bajo un diseño de mercado que facilite la incorporación de recursos renovables no convencionales (FERNC), cuyas características de operación ocasionan incertidumbre en la cantidad de energía que pueden comprometerse a entregar y la que realmente pueden aportar en tiempo real </w:t>
      </w:r>
      <w:r w:rsidR="009B1D44">
        <w:fldChar w:fldCharType="begin" w:fldLock="1"/>
      </w:r>
      <w:r w:rsidR="004770FF">
        <w:instrText>ADDIN CSL_CITATION {"citationItems":[{"id":"ITEM-1","itemData":{"author":[{"dropping-particle":"","family":"Comillas ICAI","given":"","non-dropping-particle":"","parse-names":false,"suffix":""}],"id":"ITEM-1","issued":{"date-parts":[["0"]]},"title":"Estudio para la modernización del despacho y el mercado spot de energía eléctrica-despacho vinculante y mercados intradiarios","type":"report"},"uris":["http://www.mendeley.com/documents/?uuid=5bd1d7da-367d-30c2-9d38-a6b9a12b9db5"]}],"mendeley":{"formattedCitation":"[7]","plainTextFormattedCitation":"[7]","previouslyFormattedCitation":"[7]"},"properties":{"noteIndex":0},"schema":"https://github.com/citation-style-language/schema/raw/master/csl-citation.json"}</w:instrText>
      </w:r>
      <w:r w:rsidR="009B1D44">
        <w:fldChar w:fldCharType="separate"/>
      </w:r>
      <w:r w:rsidR="004770FF" w:rsidRPr="004770FF">
        <w:rPr>
          <w:noProof/>
        </w:rPr>
        <w:t>[7]</w:t>
      </w:r>
      <w:r w:rsidR="009B1D44">
        <w:fldChar w:fldCharType="end"/>
      </w:r>
      <w:r>
        <w:t>.</w:t>
      </w:r>
    </w:p>
    <w:p w14:paraId="4622FB76" w14:textId="50DEE114" w:rsidR="00613A43" w:rsidRDefault="00C9319D" w:rsidP="00613A43">
      <w:pPr>
        <w:pStyle w:val="IEEEPrafo"/>
      </w:pPr>
      <w:r>
        <w:t xml:space="preserve">Ahora, para elegir qué recursos suplirán la carga y cuánta energía aportarán, deben presentar sus ofertas de precio de generación para tenerlas en cuenta en la realización del despacho económico. </w:t>
      </w:r>
      <w:r w:rsidR="005471FD">
        <w:t>E</w:t>
      </w:r>
      <w:r w:rsidR="00613A43">
        <w:t xml:space="preserve">l despacho económico colombiano es de gran importancia </w:t>
      </w:r>
      <w:r w:rsidR="009B1D44">
        <w:t>debido a que se basa en</w:t>
      </w:r>
      <w:r w:rsidR="00613A43">
        <w:t xml:space="preserve"> un modelo </w:t>
      </w:r>
      <w:r w:rsidR="009B1D44">
        <w:t xml:space="preserve">de </w:t>
      </w:r>
      <w:r w:rsidR="00613A43">
        <w:t>optimiza</w:t>
      </w:r>
      <w:r w:rsidR="009B1D44">
        <w:t>ción</w:t>
      </w:r>
      <w:r w:rsidR="00613A43">
        <w:t xml:space="preserve"> que permit</w:t>
      </w:r>
      <w:r w:rsidR="009B1D44">
        <w:t>e</w:t>
      </w:r>
      <w:r w:rsidR="00613A43">
        <w:t xml:space="preserve"> disminuir costos</w:t>
      </w:r>
      <w:r w:rsidR="009B1D44">
        <w:t xml:space="preserve">, </w:t>
      </w:r>
      <w:r w:rsidR="00613A43">
        <w:t>evit</w:t>
      </w:r>
      <w:r w:rsidR="009B1D44">
        <w:t>ando caer en</w:t>
      </w:r>
      <w:r w:rsidR="00613A43">
        <w:t xml:space="preserve"> el uso desmedido del recurso energético. Por este motivo, es necesario emplear herramientas matemáticas</w:t>
      </w:r>
      <w:r w:rsidR="009B1D44">
        <w:t xml:space="preserve"> como la programación lineal</w:t>
      </w:r>
      <w:r w:rsidR="00613A43">
        <w:t xml:space="preserve">, acompañadas del uso de software, </w:t>
      </w:r>
      <w:r w:rsidR="00FC5BD5">
        <w:t>para encontrar</w:t>
      </w:r>
      <w:r w:rsidR="00613A43">
        <w:t xml:space="preserve"> una solución </w:t>
      </w:r>
      <w:r w:rsidR="00FC5BD5">
        <w:t>que logre casar</w:t>
      </w:r>
      <w:r>
        <w:t>, de forma</w:t>
      </w:r>
      <w:r w:rsidR="00FC5BD5">
        <w:t xml:space="preserve"> </w:t>
      </w:r>
      <w:r>
        <w:t xml:space="preserve">óptima, </w:t>
      </w:r>
      <w:r w:rsidR="00FC5BD5">
        <w:t>la oferta (generación) con la</w:t>
      </w:r>
      <w:r w:rsidR="00D71BF6">
        <w:t xml:space="preserve"> demanda</w:t>
      </w:r>
      <w:r>
        <w:t xml:space="preserve">. Este despacho presenta </w:t>
      </w:r>
      <w:r>
        <w:lastRenderedPageBreak/>
        <w:t xml:space="preserve">valores de generación horarios para cada recurso </w:t>
      </w:r>
      <w:r w:rsidR="004770FF">
        <w:t>de generación (hidráulicos y térmicos en su mayoría) conectado al Sistema Interconectado Nacional</w:t>
      </w:r>
      <w:r w:rsidR="00FC5BD5">
        <w:t xml:space="preserve"> </w:t>
      </w:r>
      <w:r w:rsidR="00FC5BD5">
        <w:fldChar w:fldCharType="begin" w:fldLock="1"/>
      </w:r>
      <w:r w:rsidR="004770FF">
        <w:instrText>ADDIN CSL_CITATION {"citationItems":[{"id":"ITEM-1","itemData":{"author":[{"dropping-particle":"","family":"Comillas ICAI","given":"","non-dropping-particle":"","parse-names":false,"suffix":""}],"id":"ITEM-1","issued":{"date-parts":[["0"]]},"title":"Estudio para la modernización del despacho y el mercado spot de energía eléctrica-despacho vinculante y mercados intradiarios","type":"report"},"uris":["http://www.mendeley.com/documents/?uuid=5bd1d7da-367d-30c2-9d38-a6b9a12b9db5"]}],"mendeley":{"formattedCitation":"[7]","plainTextFormattedCitation":"[7]","previouslyFormattedCitation":"[7]"},"properties":{"noteIndex":0},"schema":"https://github.com/citation-style-language/schema/raw/master/csl-citation.json"}</w:instrText>
      </w:r>
      <w:r w:rsidR="00FC5BD5">
        <w:fldChar w:fldCharType="separate"/>
      </w:r>
      <w:r w:rsidR="004770FF" w:rsidRPr="004770FF">
        <w:rPr>
          <w:noProof/>
        </w:rPr>
        <w:t>[7]</w:t>
      </w:r>
      <w:r w:rsidR="00FC5BD5">
        <w:fldChar w:fldCharType="end"/>
      </w:r>
      <w:r w:rsidR="00613A43">
        <w:t>.</w:t>
      </w:r>
    </w:p>
    <w:p w14:paraId="7833BE08" w14:textId="48E32284" w:rsidR="00613A43" w:rsidRDefault="00613A43" w:rsidP="00613A43">
      <w:pPr>
        <w:pStyle w:val="IEEEPrafo"/>
      </w:pPr>
      <w:r>
        <w:t>Para incluir de forma viable los recursos de generación variable en la matriz de generación colombiana, se debe tener bajo consideración que estas fuentes de generación pueden presentar inconvenientes para entregar la energía acordada en un período de tiempo determinado en el despacho económico y recibir penalizaciones debido a ello. Por lo tanto, se debe modificar la modelación matemática actual del despacho económico en función de la variabilidad de estos recursos para tener una señal más eficiente de las desviaciones de energía despachada que sufren estos recursos durante el día</w:t>
      </w:r>
      <w:r w:rsidR="004770FF">
        <w:t xml:space="preserve"> </w:t>
      </w:r>
      <w:r w:rsidR="004770FF">
        <w:fldChar w:fldCharType="begin" w:fldLock="1"/>
      </w:r>
      <w:r w:rsidR="004770FF">
        <w:instrText>ADDIN CSL_CITATION {"citationItems":[{"id":"ITEM-1","itemData":{"author":[{"dropping-particle":"","family":"RightSide S.A.S","given":"","non-dropping-particle":"","parse-names":false,"suffix":""}],"id":"ITEM-1","issued":{"date-parts":[["2021"]]},"title":"Definición y Evaluación de un Sistema de Precios Nodales en el Mercado de Energía Mayorista bajo el esquema de Mercados Vinculantes del Día Anterior e Intradiarios","type":"report"},"uris":["http://www.mendeley.com/documents/?uuid=318771fc-398b-4078-93db-0735bae250c8"]}],"mendeley":{"formattedCitation":"[8]","plainTextFormattedCitation":"[8]","previouslyFormattedCitation":"[8]"},"properties":{"noteIndex":0},"schema":"https://github.com/citation-style-language/schema/raw/master/csl-citation.json"}</w:instrText>
      </w:r>
      <w:r w:rsidR="004770FF">
        <w:fldChar w:fldCharType="separate"/>
      </w:r>
      <w:r w:rsidR="004770FF" w:rsidRPr="004770FF">
        <w:rPr>
          <w:noProof/>
        </w:rPr>
        <w:t>[8]</w:t>
      </w:r>
      <w:r w:rsidR="004770FF">
        <w:fldChar w:fldCharType="end"/>
      </w:r>
      <w:r w:rsidR="005471FD">
        <w:t>.</w:t>
      </w:r>
    </w:p>
    <w:p w14:paraId="65DBCA5C" w14:textId="066CEDAC" w:rsidR="00552DBD" w:rsidRDefault="00552DBD" w:rsidP="00552DBD">
      <w:pPr>
        <w:pStyle w:val="IEEENivel1"/>
      </w:pPr>
      <w:r>
        <w:t>OBJETIVOS</w:t>
      </w:r>
    </w:p>
    <w:p w14:paraId="239DA9B4" w14:textId="62FDEA55" w:rsidR="00881916" w:rsidRPr="00881916" w:rsidRDefault="00552DBD" w:rsidP="00881916">
      <w:pPr>
        <w:pStyle w:val="IEEENivel2"/>
      </w:pPr>
      <w:r>
        <w:t>Objetivo General</w:t>
      </w:r>
    </w:p>
    <w:p w14:paraId="7E35D668" w14:textId="3F8C57EA" w:rsidR="00F65BD4" w:rsidRDefault="00613A43" w:rsidP="00552DBD">
      <w:pPr>
        <w:pStyle w:val="IEEEPrafo"/>
      </w:pPr>
      <w:r>
        <w:t>Desarrollar en Python-</w:t>
      </w:r>
      <w:proofErr w:type="spellStart"/>
      <w:r>
        <w:t>Pyomo</w:t>
      </w:r>
      <w:proofErr w:type="spellEnd"/>
      <w:r>
        <w:t>, el modelo de despacho económico colombiano considerando restricciones adicionales para el despacho intradiario, de acuerdo con las propuestas iniciales publicadas por la comisión de regulación de energía y gas CREG.</w:t>
      </w:r>
    </w:p>
    <w:p w14:paraId="5CFE6817" w14:textId="4213A23C" w:rsidR="00720A00" w:rsidRDefault="00720A00" w:rsidP="00720A00">
      <w:pPr>
        <w:pStyle w:val="IEEENivel2"/>
      </w:pPr>
      <w:r>
        <w:t>Objetivos Específicos</w:t>
      </w:r>
    </w:p>
    <w:p w14:paraId="0643AC18" w14:textId="6BC34ACC" w:rsidR="00881916" w:rsidRPr="00613A43" w:rsidRDefault="00613A43" w:rsidP="00613A43">
      <w:pPr>
        <w:pStyle w:val="IEEEPrafo"/>
      </w:pPr>
      <w:r>
        <w:t>Desarrollar una modelación matemática en Python-</w:t>
      </w:r>
      <w:proofErr w:type="spellStart"/>
      <w:r>
        <w:t>Pyomo</w:t>
      </w:r>
      <w:proofErr w:type="spellEnd"/>
      <w:r>
        <w:t xml:space="preserve"> la cual contenga las restricciones que permiten resultados de despacho económico factibles para variaciones </w:t>
      </w:r>
      <w:proofErr w:type="spellStart"/>
      <w:r>
        <w:t>intrahorarias</w:t>
      </w:r>
      <w:proofErr w:type="spellEnd"/>
      <w:r>
        <w:t xml:space="preserve"> de generación, haciendo énfasis en los recursos de generación variable, mediante el ajuste del modelo actual utilizado por el operador del mercado XM.</w:t>
      </w:r>
    </w:p>
    <w:p w14:paraId="4E5A47A9" w14:textId="240B038C" w:rsidR="00881916" w:rsidRDefault="00613A43" w:rsidP="00613A43">
      <w:pPr>
        <w:pStyle w:val="IEEEPrafo"/>
      </w:pPr>
      <w:r>
        <w:t>Realizar simulaciones con datos reales del despacho en Colombia.</w:t>
      </w:r>
    </w:p>
    <w:p w14:paraId="5593E70D" w14:textId="37216F58" w:rsidR="00613A43" w:rsidRPr="00613A43" w:rsidRDefault="00613A43" w:rsidP="00613A43">
      <w:pPr>
        <w:pStyle w:val="IEEEPrafo"/>
      </w:pPr>
      <w:r>
        <w:t xml:space="preserve">Determinar las desviaciones en el despacho económico resultante (plantas despachadas y la potencia horaria de las mismas) de los recursos de generación variable mediante la comparación de los resultados con la modelación horaria versus la modelación considerando variaciones </w:t>
      </w:r>
      <w:proofErr w:type="spellStart"/>
      <w:r>
        <w:t>intrahorarias</w:t>
      </w:r>
      <w:proofErr w:type="spellEnd"/>
      <w:r>
        <w:t>.</w:t>
      </w:r>
    </w:p>
    <w:p w14:paraId="10C5F00E" w14:textId="257FED00" w:rsidR="00A60496" w:rsidRDefault="00A60496" w:rsidP="00A60496">
      <w:pPr>
        <w:pStyle w:val="IEEENivel1"/>
      </w:pPr>
      <w:r>
        <w:t>MARCO TEÓRICO</w:t>
      </w:r>
    </w:p>
    <w:p w14:paraId="68445EC8" w14:textId="61E78015" w:rsidR="00231564" w:rsidRDefault="00613A43" w:rsidP="00231564">
      <w:pPr>
        <w:pStyle w:val="IEEEPrafo"/>
        <w:rPr>
          <w:rFonts w:eastAsia="Times New Roman"/>
          <w:color w:val="000000"/>
        </w:rPr>
      </w:pPr>
      <w:r>
        <w:rPr>
          <w:rFonts w:eastAsia="Times New Roman"/>
          <w:color w:val="000000"/>
        </w:rPr>
        <w:t>Existen 3 pilares sobre los cuales reposa el correcto funcionamiento del mercado intradiario:</w:t>
      </w:r>
    </w:p>
    <w:p w14:paraId="09299F51" w14:textId="665D6D60" w:rsidR="00613A43" w:rsidRDefault="00613A43" w:rsidP="00613A43">
      <w:pPr>
        <w:pStyle w:val="IEEENivel2"/>
      </w:pPr>
      <w:r>
        <w:t>Despacho vinculante</w:t>
      </w:r>
    </w:p>
    <w:p w14:paraId="3BB50B55" w14:textId="2B2A8009" w:rsidR="00742320" w:rsidRDefault="00742320" w:rsidP="000D6AB9">
      <w:pPr>
        <w:pStyle w:val="IEEEPrafo"/>
      </w:pPr>
      <w:r>
        <w:t>Mundialmente, los mercados eléctricos más avanzados funcionan de modo que se mantenga la relación de oferta y demanda, donde los participantes del mercado declaran, por el lado de la oferta, sus condiciones cualitativas y cuantitativas a vender y, por el lado de la demanda, indica cuánto están dispuestos a pagar</w:t>
      </w:r>
      <w:r w:rsidR="00FA7565">
        <w:t xml:space="preserve"> </w:t>
      </w:r>
      <w:r w:rsidR="00FA7565">
        <w:fldChar w:fldCharType="begin" w:fldLock="1"/>
      </w:r>
      <w:r w:rsidR="00FA7565">
        <w:instrText>ADDIN CSL_CITATION {"citationItems":[{"id":"ITEM-1","itemData":{"author":[{"dropping-particle":"","family":"CREG","given":"","non-dropping-particle":"","parse-names":false,"suffix":""}],"container-title":"Consultation document Circular 039-2016 Anexo D-004B","id":"ITEM-1","issued":{"date-parts":[["2016"]]},"title":"Propuesta para despacho vinculante","type":"article"},"uris":["http://www.mendeley.com/documents/?uuid=6cdf8714-749d-4ed4-adc8-c38945a12642"]}],"mendeley":{"formattedCitation":"[9]","plainTextFormattedCitation":"[9]","previouslyFormattedCitation":"[9]"},"properties":{"noteIndex":0},"schema":"https://github.com/citation-style-language/schema/raw/master/csl-citation.json"}</w:instrText>
      </w:r>
      <w:r w:rsidR="00FA7565">
        <w:fldChar w:fldCharType="separate"/>
      </w:r>
      <w:r w:rsidR="00FA7565" w:rsidRPr="00FA7565">
        <w:rPr>
          <w:noProof/>
        </w:rPr>
        <w:t>[9]</w:t>
      </w:r>
      <w:r w:rsidR="00FA7565">
        <w:fldChar w:fldCharType="end"/>
      </w:r>
      <w:r>
        <w:t>.</w:t>
      </w:r>
    </w:p>
    <w:p w14:paraId="2B8095A5" w14:textId="5A22F570" w:rsidR="00742320" w:rsidRDefault="00742320" w:rsidP="000D6AB9">
      <w:pPr>
        <w:pStyle w:val="IEEEPrafo"/>
      </w:pPr>
      <w:r>
        <w:t>«La casación de las curvas de oferta y demanda para cada hora del día siguiente conforman los precios y cantidades del mercado del día anterior (…)». Los compromisos adquiridos en este mercado serán, a continuación, liquidados, sea bajo figura de mercado intradiario o en tiempo real</w:t>
      </w:r>
      <w:r w:rsidR="00FA7565">
        <w:t xml:space="preserve"> </w:t>
      </w:r>
      <w:r w:rsidR="00FA7565">
        <w:fldChar w:fldCharType="begin" w:fldLock="1"/>
      </w:r>
      <w:r w:rsidR="00FA7565">
        <w:instrText>ADDIN CSL_CITATION {"citationItems":[{"id":"ITEM-1","itemData":{"author":[{"dropping-particle":"","family":"CREG","given":"","non-dropping-particle":"","parse-names":false,"suffix":""}],"container-title":"Consultation document Circular 039-2016 Anexo D-004B","id":"ITEM-1","issued":{"date-parts":[["2016"]]},"title":"Propuesta para despacho vinculante","type":"article"},"uris":["http://www.mendeley.com/documents/?uuid=6cdf8714-749d-4ed4-adc8-c38945a12642"]}],"mendeley":{"formattedCitation":"[9]","plainTextFormattedCitation":"[9]","previouslyFormattedCitation":"[9]"},"properties":{"noteIndex":0},"schema":"https://github.com/citation-style-language/schema/raw/master/csl-citation.json"}</w:instrText>
      </w:r>
      <w:r w:rsidR="00FA7565">
        <w:fldChar w:fldCharType="separate"/>
      </w:r>
      <w:r w:rsidR="00FA7565" w:rsidRPr="00FA7565">
        <w:rPr>
          <w:noProof/>
        </w:rPr>
        <w:t>[9]</w:t>
      </w:r>
      <w:r w:rsidR="00FA7565">
        <w:fldChar w:fldCharType="end"/>
      </w:r>
      <w:r>
        <w:t>.</w:t>
      </w:r>
    </w:p>
    <w:p w14:paraId="7EF9A5A4" w14:textId="08BB692A" w:rsidR="00742320" w:rsidRDefault="00742320" w:rsidP="000D6AB9">
      <w:pPr>
        <w:pStyle w:val="IEEEPrafo"/>
      </w:pPr>
      <w:r>
        <w:t xml:space="preserve">El despacho económico, con las cantidades pactadas en el mercado del día anterior, no representan un compromiso en </w:t>
      </w:r>
      <w:r>
        <w:t>caso de la aparición o existencia de contratos bilaterales, y mucho menos fijan el precio de la energía</w:t>
      </w:r>
      <w:r w:rsidR="00FA7565">
        <w:t xml:space="preserve"> </w:t>
      </w:r>
      <w:r w:rsidR="00FA7565">
        <w:fldChar w:fldCharType="begin" w:fldLock="1"/>
      </w:r>
      <w:r w:rsidR="00FA7565">
        <w:instrText>ADDIN CSL_CITATION {"citationItems":[{"id":"ITEM-1","itemData":{"author":[{"dropping-particle":"","family":"CREG","given":"","non-dropping-particle":"","parse-names":false,"suffix":""}],"container-title":"Consultation document Circular 039-2016 Anexo D-004B","id":"ITEM-1","issued":{"date-parts":[["2016"]]},"title":"Propuesta para despacho vinculante","type":"article"},"uris":["http://www.mendeley.com/documents/?uuid=6cdf8714-749d-4ed4-adc8-c38945a12642"]}],"mendeley":{"formattedCitation":"[9]","plainTextFormattedCitation":"[9]","previouslyFormattedCitation":"[9]"},"properties":{"noteIndex":0},"schema":"https://github.com/citation-style-language/schema/raw/master/csl-citation.json"}</w:instrText>
      </w:r>
      <w:r w:rsidR="00FA7565">
        <w:fldChar w:fldCharType="separate"/>
      </w:r>
      <w:r w:rsidR="00FA7565" w:rsidRPr="00FA7565">
        <w:rPr>
          <w:noProof/>
        </w:rPr>
        <w:t>[9]</w:t>
      </w:r>
      <w:r w:rsidR="00FA7565">
        <w:fldChar w:fldCharType="end"/>
      </w:r>
      <w:r>
        <w:t>.</w:t>
      </w:r>
    </w:p>
    <w:p w14:paraId="643C7043" w14:textId="6B13C807" w:rsidR="00613A43" w:rsidRDefault="00742320" w:rsidP="000D6AB9">
      <w:pPr>
        <w:pStyle w:val="IEEEPrafo"/>
      </w:pPr>
      <w:r>
        <w:t xml:space="preserve">En Colombia, por otro lado, dichas cantidades sirven como punto de referencia para evaluar y liquidar desviaciones con proporción a la generación realmente aportada, a lo cual se le denomina generación programada. El hecho de tener desde un día anterior a la operación una señal de precio spot puede reafirmar los acuerdos hechos y ser de gran utilidad para operar el sistema, lo cual puede también ser estimulado y promovido con algunos incentivos a los generadores que cumplan con la programación energética conferida </w:t>
      </w:r>
      <w:r w:rsidR="00FA7565">
        <w:fldChar w:fldCharType="begin" w:fldLock="1"/>
      </w:r>
      <w:r w:rsidR="00FA7565">
        <w:instrText>ADDIN CSL_CITATION {"citationItems":[{"id":"ITEM-1","itemData":{"author":[{"dropping-particle":"","family":"CREG","given":"","non-dropping-particle":"","parse-names":false,"suffix":""}],"container-title":"Consultation document Circular 039-2016 Anexo D-004B","id":"ITEM-1","issued":{"date-parts":[["2016"]]},"title":"Propuesta para despacho vinculante","type":"article"},"uris":["http://www.mendeley.com/documents/?uuid=6cdf8714-749d-4ed4-adc8-c38945a12642"]}],"mendeley":{"formattedCitation":"[9]","plainTextFormattedCitation":"[9]","previouslyFormattedCitation":"[9]"},"properties":{"noteIndex":0},"schema":"https://github.com/citation-style-language/schema/raw/master/csl-citation.json"}</w:instrText>
      </w:r>
      <w:r w:rsidR="00FA7565">
        <w:fldChar w:fldCharType="separate"/>
      </w:r>
      <w:r w:rsidR="00FA7565" w:rsidRPr="00FA7565">
        <w:rPr>
          <w:noProof/>
        </w:rPr>
        <w:t>[9]</w:t>
      </w:r>
      <w:r w:rsidR="00FA7565">
        <w:fldChar w:fldCharType="end"/>
      </w:r>
      <w:r>
        <w:t>.</w:t>
      </w:r>
    </w:p>
    <w:p w14:paraId="3FE3DAE2" w14:textId="05E3735D" w:rsidR="00613A43" w:rsidRDefault="00742320" w:rsidP="00742320">
      <w:pPr>
        <w:pStyle w:val="IEEENivel2"/>
        <w:rPr>
          <w:rFonts w:eastAsia="Times New Roman"/>
          <w:color w:val="000000"/>
        </w:rPr>
      </w:pPr>
      <w:r>
        <w:rPr>
          <w:rFonts w:eastAsia="Times New Roman"/>
          <w:color w:val="000000"/>
        </w:rPr>
        <w:t>Sesiones de mercado intradiario</w:t>
      </w:r>
    </w:p>
    <w:p w14:paraId="01CD6372" w14:textId="19EDC1C5" w:rsidR="00742320" w:rsidRPr="000D6AB9" w:rsidRDefault="00742320" w:rsidP="000D6AB9">
      <w:pPr>
        <w:pStyle w:val="IEEEPrafo"/>
      </w:pPr>
      <w:r w:rsidRPr="000D6AB9">
        <w:t xml:space="preserve">Antes de dar inicio a la operación en el esquema de mercado, aquellos que participen del mismo, podrán volver a negociar el precio de compra o venta de energía durante el mismo día que se realiza la operación. Los espacios donde se realizan esas nuevas ofertas, son instancias adicionales donde se puede volver a negociar la totalidad de la demanda de energía para ciertos periodos de carga </w:t>
      </w:r>
      <w:r w:rsidR="00FA7565" w:rsidRPr="000D6AB9">
        <w:fldChar w:fldCharType="begin" w:fldLock="1"/>
      </w:r>
      <w:r w:rsidR="00FA7565" w:rsidRPr="000D6AB9">
        <w:instrText>ADDIN CSL_CITATION {"citationItems":[{"id":"ITEM-1","itemData":{"author":[{"dropping-particle":"","family":"Comillas ICAI","given":"","non-dropping-particle":"","parse-names":false,"suffix":""}],"id":"ITEM-1","issued":{"date-parts":[["0"]]},"title":"Estudio para la modernización del despacho y el mercado spot de energía eléctrica-despacho vinculante y mercados intradiarios","type":"report"},"uris":["http://www.mendeley.com/documents/?uuid=5bd1d7da-367d-30c2-9d38-a6b9a12b9db5"]},{"id":"ITEM-2","itemData":{"author":[{"dropping-particle":"","family":"CREG","given":"","non-dropping-particle":"","parse-names":false,"suffix":""}],"container-title":"Consultation document Circular 039-2016 Anexo D-004B","id":"ITEM-2","issued":{"date-parts":[["2016"]]},"title":"Propuesta para despacho vinculante","type":"article"},"uris":["http://www.mendeley.com/documents/?uuid=6cdf8714-749d-4ed4-adc8-c38945a12642"]}],"mendeley":{"formattedCitation":"[7], [9]","plainTextFormattedCitation":"[7], [9]","previouslyFormattedCitation":"[7], [9]"},"properties":{"noteIndex":0},"schema":"https://github.com/citation-style-language/schema/raw/master/csl-citation.json"}</w:instrText>
      </w:r>
      <w:r w:rsidR="00FA7565" w:rsidRPr="000D6AB9">
        <w:fldChar w:fldCharType="separate"/>
      </w:r>
      <w:r w:rsidR="00FA7565" w:rsidRPr="000D6AB9">
        <w:rPr>
          <w:noProof/>
        </w:rPr>
        <w:t>[7], [9]</w:t>
      </w:r>
      <w:r w:rsidR="00FA7565" w:rsidRPr="000D6AB9">
        <w:fldChar w:fldCharType="end"/>
      </w:r>
      <w:r w:rsidRPr="000D6AB9">
        <w:t>.</w:t>
      </w:r>
    </w:p>
    <w:p w14:paraId="184B1B9B" w14:textId="348E5F87" w:rsidR="00742320" w:rsidRDefault="00742320" w:rsidP="00742320">
      <w:pPr>
        <w:pStyle w:val="IEEENivel2"/>
        <w:rPr>
          <w:rFonts w:eastAsia="Times New Roman"/>
          <w:color w:val="000000"/>
        </w:rPr>
      </w:pPr>
      <w:r>
        <w:rPr>
          <w:rFonts w:eastAsia="Times New Roman"/>
          <w:color w:val="000000"/>
        </w:rPr>
        <w:t>Mecanismo de balance</w:t>
      </w:r>
    </w:p>
    <w:p w14:paraId="72FC053C" w14:textId="6216B68D" w:rsidR="00742320" w:rsidRDefault="00742320" w:rsidP="000D6AB9">
      <w:pPr>
        <w:pStyle w:val="IEEEPrafo"/>
      </w:pPr>
      <w:r>
        <w:t>En este esquema se capturan las diferencias entre las cantidades comprometidas en los mecanismos anteriores.</w:t>
      </w:r>
      <w:r w:rsidR="00FA7565">
        <w:t xml:space="preserve"> </w:t>
      </w:r>
      <w:r>
        <w:t>Los incentivos emitidos a los participantes del mercado en condiciones de cumplimiento de la programación asignada dan como resultado la mayor cercanía posible a la operación programada el día anterior, tanto en cantidades de generación como en demanda. Por consiguiente, aquellos que opten por este mecanismo deben ser conscientes de que los valores a pagar deben ser sustancialmente más altos que los del despacho vinculante y los de sesiones de mercado intradiario</w:t>
      </w:r>
      <w:r w:rsidR="00FA7565">
        <w:t xml:space="preserve"> </w:t>
      </w:r>
      <w:r w:rsidR="00FA7565">
        <w:fldChar w:fldCharType="begin" w:fldLock="1"/>
      </w:r>
      <w:r w:rsidR="00FA7565">
        <w:instrText>ADDIN CSL_CITATION {"citationItems":[{"id":"ITEM-1","itemData":{"author":[{"dropping-particle":"","family":"Comillas ICAI","given":"","non-dropping-particle":"","parse-names":false,"suffix":""}],"id":"ITEM-1","issued":{"date-parts":[["0"]]},"title":"Estudio para la modernización del despacho y el mercado spot de energía eléctrica-despacho vinculante y mercados intradiarios","type":"report"},"uris":["http://www.mendeley.com/documents/?uuid=5bd1d7da-367d-30c2-9d38-a6b9a12b9db5"]},{"id":"ITEM-2","itemData":{"author":[{"dropping-particle":"","family":"CREG","given":"","non-dropping-particle":"","parse-names":false,"suffix":""}],"container-title":"Consultation document Circular 039-2016 Anexo D-004B","id":"ITEM-2","issued":{"date-parts":[["2016"]]},"title":"Propuesta para despacho vinculante","type":"article"},"uris":["http://www.mendeley.com/documents/?uuid=6cdf8714-749d-4ed4-adc8-c38945a12642"]}],"mendeley":{"formattedCitation":"[7], [9]","plainTextFormattedCitation":"[7], [9]","previouslyFormattedCitation":"[7], [9]"},"properties":{"noteIndex":0},"schema":"https://github.com/citation-style-language/schema/raw/master/csl-citation.json"}</w:instrText>
      </w:r>
      <w:r w:rsidR="00FA7565">
        <w:fldChar w:fldCharType="separate"/>
      </w:r>
      <w:r w:rsidR="00FA7565" w:rsidRPr="00FA7565">
        <w:rPr>
          <w:noProof/>
        </w:rPr>
        <w:t>[7], [9]</w:t>
      </w:r>
      <w:r w:rsidR="00FA7565">
        <w:fldChar w:fldCharType="end"/>
      </w:r>
      <w:r>
        <w:t>.</w:t>
      </w:r>
    </w:p>
    <w:p w14:paraId="7F0F7C3D" w14:textId="023519CA" w:rsidR="00742320" w:rsidRDefault="00742320" w:rsidP="000D6AB9">
      <w:pPr>
        <w:pStyle w:val="IEEEPrafo"/>
      </w:pPr>
      <w:r>
        <w:t>Se hace importante aclarar que, para los sistemas, en su gran mayoría, el operador tiene a su disposición las condiciones necesarias para atender la demanda, a través de planes y esquemas donde es posible autorizar a determinados generadores para desviarse, cumpliendo con los debidos requisitos y criterios de confiabilidad, seguridad y economía</w:t>
      </w:r>
      <w:r w:rsidR="00FA7565">
        <w:t xml:space="preserve"> </w:t>
      </w:r>
      <w:r w:rsidR="0086127A">
        <w:fldChar w:fldCharType="begin" w:fldLock="1"/>
      </w:r>
      <w:r w:rsidR="0086127A">
        <w:instrText>ADDIN CSL_CITATION {"citationItems":[{"id":"ITEM-1","itemData":{"author":[{"dropping-particle":"","family":"Comillas ICAI","given":"","non-dropping-particle":"","parse-names":false,"suffix":""}],"id":"ITEM-1","issued":{"date-parts":[["0"]]},"title":"Estudio para la modernización del despacho y el mercado spot de energía eléctrica-despacho vinculante y mercados intradiarios","type":"report"},"uris":["http://www.mendeley.com/documents/?uuid=5bd1d7da-367d-30c2-9d38-a6b9a12b9db5"]},{"id":"ITEM-2","itemData":{"author":[{"dropping-particle":"","family":"CREG","given":"","non-dropping-particle":"","parse-names":false,"suffix":""}],"container-title":"Consultation document Circular 039-2016 Anexo D-004B","id":"ITEM-2","issued":{"date-parts":[["2016"]]},"title":"Propuesta para despacho vinculante","type":"article"},"uris":["http://www.mendeley.com/documents/?uuid=6cdf8714-749d-4ed4-adc8-c38945a12642"]}],"mendeley":{"formattedCitation":"[7], [9]","plainTextFormattedCitation":"[7], [9]","previouslyFormattedCitation":"[7], [9]"},"properties":{"noteIndex":0},"schema":"https://github.com/citation-style-language/schema/raw/master/csl-citation.json"}</w:instrText>
      </w:r>
      <w:r w:rsidR="0086127A">
        <w:fldChar w:fldCharType="separate"/>
      </w:r>
      <w:r w:rsidR="0086127A" w:rsidRPr="0086127A">
        <w:rPr>
          <w:noProof/>
        </w:rPr>
        <w:t>[7], [9]</w:t>
      </w:r>
      <w:r w:rsidR="0086127A">
        <w:fldChar w:fldCharType="end"/>
      </w:r>
      <w:r>
        <w:t>.</w:t>
      </w:r>
    </w:p>
    <w:p w14:paraId="55585A66" w14:textId="3D5BB048" w:rsidR="00742320" w:rsidRDefault="00742320" w:rsidP="00742320">
      <w:pPr>
        <w:pStyle w:val="IEEENivel2"/>
      </w:pPr>
      <w:r>
        <w:t>Formulación matemática del despacho económico</w:t>
      </w:r>
    </w:p>
    <w:p w14:paraId="0186A036" w14:textId="02C2B013" w:rsidR="00742320" w:rsidRPr="00776708" w:rsidRDefault="000352A9" w:rsidP="00742320">
      <w:pPr>
        <w:pStyle w:val="IEEEPrafo"/>
        <w:rPr>
          <w:rFonts w:eastAsiaTheme="minorEastAsia"/>
          <w:i/>
          <w:color w:val="000000"/>
        </w:rPr>
      </w:pPr>
      <m:oMathPara>
        <m:oMath>
          <m:eqArr>
            <m:eqArrPr>
              <m:maxDist m:val="1"/>
              <m:ctrlPr>
                <w:rPr>
                  <w:rFonts w:ascii="Cambria Math" w:eastAsia="Cambria Math" w:hAnsi="Cambria Math" w:cs="Cambria Math"/>
                  <w:i/>
                  <w:color w:val="000000"/>
                </w:rPr>
              </m:ctrlPr>
            </m:eqArrPr>
            <m:e>
              <m:r>
                <w:rPr>
                  <w:rFonts w:ascii="Cambria Math" w:eastAsia="Cambria Math" w:hAnsi="Cambria Math" w:cs="Cambria Math"/>
                  <w:color w:val="000000"/>
                </w:rPr>
                <m:t>FO:</m:t>
              </m:r>
              <m:nary>
                <m:naryPr>
                  <m:chr m:val="∑"/>
                  <m:ctrlPr>
                    <w:rPr>
                      <w:rFonts w:ascii="Cambria Math" w:eastAsia="Cambria Math" w:hAnsi="Cambria Math" w:cs="Cambria Math"/>
                      <w:color w:val="000000"/>
                    </w:rPr>
                  </m:ctrlPr>
                </m:naryPr>
                <m:sub>
                  <m:r>
                    <w:rPr>
                      <w:rFonts w:ascii="Cambria Math" w:eastAsia="Cambria Math" w:hAnsi="Cambria Math" w:cs="Cambria Math"/>
                      <w:color w:val="000000"/>
                    </w:rPr>
                    <m:t>t=1</m:t>
                  </m:r>
                </m:sub>
                <m:sup>
                  <m:r>
                    <w:rPr>
                      <w:rFonts w:ascii="Cambria Math" w:eastAsia="Cambria Math" w:hAnsi="Cambria Math" w:cs="Cambria Math"/>
                      <w:color w:val="000000"/>
                    </w:rPr>
                    <m:t>24</m:t>
                  </m:r>
                </m:sup>
                <m:e>
                  <m:nary>
                    <m:naryPr>
                      <m:chr m:val="∑"/>
                      <m:ctrlPr>
                        <w:rPr>
                          <w:rFonts w:ascii="Cambria Math" w:eastAsia="Cambria Math" w:hAnsi="Cambria Math" w:cs="Cambria Math"/>
                          <w:color w:val="000000"/>
                        </w:rPr>
                      </m:ctrlPr>
                    </m:naryPr>
                    <m:sub>
                      <m:r>
                        <w:rPr>
                          <w:rFonts w:ascii="Cambria Math" w:eastAsia="Cambria Math" w:hAnsi="Cambria Math" w:cs="Cambria Math"/>
                          <w:color w:val="000000"/>
                        </w:rPr>
                        <m:t>i=1</m:t>
                      </m:r>
                    </m:sub>
                    <m:sup>
                      <m:r>
                        <w:rPr>
                          <w:rFonts w:ascii="Cambria Math" w:eastAsia="Cambria Math" w:hAnsi="Cambria Math" w:cs="Cambria Math"/>
                          <w:color w:val="000000"/>
                        </w:rPr>
                        <m:t>G</m:t>
                      </m:r>
                    </m:sup>
                    <m:e>
                      <m:sSub>
                        <m:sSubPr>
                          <m:ctrlPr>
                            <w:rPr>
                              <w:rFonts w:ascii="Cambria Math" w:eastAsia="Cambria Math" w:hAnsi="Cambria Math" w:cs="Cambria Math"/>
                              <w:color w:val="000000"/>
                            </w:rPr>
                          </m:ctrlPr>
                        </m:sSubPr>
                        <m:e>
                          <m:r>
                            <w:rPr>
                              <w:rFonts w:ascii="Cambria Math" w:eastAsia="Cambria Math" w:hAnsi="Cambria Math" w:cs="Cambria Math"/>
                              <w:color w:val="000000"/>
                            </w:rPr>
                            <m:t>P</m:t>
                          </m:r>
                        </m:e>
                        <m:sub>
                          <m:r>
                            <w:rPr>
                              <w:rFonts w:ascii="Cambria Math" w:eastAsia="Cambria Math" w:hAnsi="Cambria Math" w:cs="Cambria Math"/>
                              <w:color w:val="000000"/>
                            </w:rPr>
                            <m:t>i</m:t>
                          </m:r>
                        </m:sub>
                      </m:sSub>
                      <m:r>
                        <w:rPr>
                          <w:rFonts w:ascii="Cambria Math" w:eastAsia="Cambria Math" w:hAnsi="Cambria Math" w:cs="Cambria Math"/>
                          <w:color w:val="000000"/>
                        </w:rPr>
                        <m:t>⋅</m:t>
                      </m:r>
                      <m:sSub>
                        <m:sSubPr>
                          <m:ctrlPr>
                            <w:rPr>
                              <w:rFonts w:ascii="Cambria Math" w:eastAsia="Cambria Math" w:hAnsi="Cambria Math" w:cs="Cambria Math"/>
                              <w:color w:val="000000"/>
                            </w:rPr>
                          </m:ctrlPr>
                        </m:sSubPr>
                        <m:e>
                          <m:r>
                            <w:rPr>
                              <w:rFonts w:ascii="Cambria Math" w:eastAsia="Cambria Math" w:hAnsi="Cambria Math" w:cs="Cambria Math"/>
                              <w:color w:val="000000"/>
                            </w:rPr>
                            <m:t>g</m:t>
                          </m:r>
                        </m:e>
                        <m:sub>
                          <m:r>
                            <w:rPr>
                              <w:rFonts w:ascii="Cambria Math" w:eastAsia="Cambria Math" w:hAnsi="Cambria Math" w:cs="Cambria Math"/>
                              <w:color w:val="000000"/>
                            </w:rPr>
                            <m:t>t,i</m:t>
                          </m:r>
                        </m:sub>
                      </m:sSub>
                    </m:e>
                  </m:nary>
                </m:e>
              </m:nary>
              <m:r>
                <w:rPr>
                  <w:rFonts w:ascii="Cambria Math" w:eastAsia="Cambria Math" w:hAnsi="Cambria Math" w:cs="Cambria Math"/>
                  <w:color w:val="000000"/>
                </w:rPr>
                <m:t>+</m:t>
              </m:r>
              <m:nary>
                <m:naryPr>
                  <m:chr m:val="∑"/>
                  <m:ctrlPr>
                    <w:rPr>
                      <w:rFonts w:ascii="Cambria Math" w:eastAsia="Cambria Math" w:hAnsi="Cambria Math" w:cs="Cambria Math"/>
                      <w:color w:val="000000"/>
                    </w:rPr>
                  </m:ctrlPr>
                </m:naryPr>
                <m:sub>
                  <m:r>
                    <w:rPr>
                      <w:rFonts w:ascii="Cambria Math" w:eastAsia="Cambria Math" w:hAnsi="Cambria Math" w:cs="Cambria Math"/>
                      <w:color w:val="000000"/>
                    </w:rPr>
                    <m:t>t=1</m:t>
                  </m:r>
                </m:sub>
                <m:sup>
                  <m:r>
                    <w:rPr>
                      <w:rFonts w:ascii="Cambria Math" w:eastAsia="Cambria Math" w:hAnsi="Cambria Math" w:cs="Cambria Math"/>
                      <w:color w:val="000000"/>
                    </w:rPr>
                    <m:t>24</m:t>
                  </m:r>
                </m:sup>
                <m:e>
                  <m:nary>
                    <m:naryPr>
                      <m:chr m:val="∑"/>
                      <m:ctrlPr>
                        <w:rPr>
                          <w:rFonts w:ascii="Cambria Math" w:eastAsia="Cambria Math" w:hAnsi="Cambria Math" w:cs="Cambria Math"/>
                          <w:color w:val="000000"/>
                        </w:rPr>
                      </m:ctrlPr>
                    </m:naryPr>
                    <m:sub>
                      <m:r>
                        <w:rPr>
                          <w:rFonts w:ascii="Cambria Math" w:eastAsia="Cambria Math" w:hAnsi="Cambria Math" w:cs="Cambria Math"/>
                          <w:color w:val="000000"/>
                        </w:rPr>
                        <m:t>i=1</m:t>
                      </m:r>
                    </m:sub>
                    <m:sup>
                      <m:r>
                        <w:rPr>
                          <w:rFonts w:ascii="Cambria Math" w:eastAsia="Cambria Math" w:hAnsi="Cambria Math" w:cs="Cambria Math"/>
                          <w:color w:val="000000"/>
                        </w:rPr>
                        <m:t>G</m:t>
                      </m:r>
                    </m:sup>
                    <m:e>
                      <m:sSub>
                        <m:sSubPr>
                          <m:ctrlPr>
                            <w:rPr>
                              <w:rFonts w:ascii="Cambria Math" w:eastAsia="Cambria Math" w:hAnsi="Cambria Math" w:cs="Cambria Math"/>
                              <w:color w:val="000000"/>
                            </w:rPr>
                          </m:ctrlPr>
                        </m:sSubPr>
                        <m:e>
                          <m:r>
                            <w:rPr>
                              <w:rFonts w:ascii="Cambria Math" w:eastAsia="Cambria Math" w:hAnsi="Cambria Math" w:cs="Cambria Math"/>
                              <w:color w:val="000000"/>
                            </w:rPr>
                            <m:t>PAP</m:t>
                          </m:r>
                        </m:e>
                        <m:sub>
                          <m:r>
                            <w:rPr>
                              <w:rFonts w:ascii="Cambria Math" w:eastAsia="Cambria Math" w:hAnsi="Cambria Math" w:cs="Cambria Math"/>
                              <w:color w:val="000000"/>
                            </w:rPr>
                            <m:t>i</m:t>
                          </m:r>
                        </m:sub>
                      </m:sSub>
                      <m:r>
                        <w:rPr>
                          <w:rFonts w:ascii="Cambria Math" w:eastAsia="Cambria Math" w:hAnsi="Cambria Math" w:cs="Cambria Math"/>
                          <w:color w:val="000000"/>
                        </w:rPr>
                        <m:t>⋅</m:t>
                      </m:r>
                      <m:sSub>
                        <m:sSubPr>
                          <m:ctrlPr>
                            <w:rPr>
                              <w:rFonts w:ascii="Cambria Math" w:eastAsia="Cambria Math" w:hAnsi="Cambria Math" w:cs="Cambria Math"/>
                              <w:color w:val="000000"/>
                            </w:rPr>
                          </m:ctrlPr>
                        </m:sSubPr>
                        <m:e>
                          <m:r>
                            <w:rPr>
                              <w:rFonts w:ascii="Cambria Math" w:eastAsia="Cambria Math" w:hAnsi="Cambria Math" w:cs="Cambria Math"/>
                              <w:color w:val="000000"/>
                            </w:rPr>
                            <m:t>a</m:t>
                          </m:r>
                        </m:e>
                        <m:sub>
                          <m:r>
                            <w:rPr>
                              <w:rFonts w:ascii="Cambria Math" w:eastAsia="Cambria Math" w:hAnsi="Cambria Math" w:cs="Cambria Math"/>
                              <w:color w:val="000000"/>
                            </w:rPr>
                            <m:t>t,i</m:t>
                          </m:r>
                        </m:sub>
                      </m:sSub>
                    </m:e>
                  </m:nary>
                </m:e>
              </m:nary>
              <m:r>
                <w:rPr>
                  <w:rFonts w:ascii="Cambria Math" w:eastAsia="Cambria Math" w:hAnsi="Cambria Math" w:cs="Cambria Math"/>
                  <w:color w:val="000000"/>
                </w:rPr>
                <m:t>+</m:t>
              </m:r>
              <m:r>
                <w:rPr>
                  <w:rFonts w:eastAsia="Times New Roman"/>
                  <w:color w:val="000000"/>
                </w:rPr>
                <m:t xml:space="preserve"> </m:t>
              </m:r>
              <m:nary>
                <m:naryPr>
                  <m:chr m:val="∑"/>
                  <m:ctrlPr>
                    <w:rPr>
                      <w:rFonts w:ascii="Cambria Math" w:eastAsia="Cambria Math" w:hAnsi="Cambria Math" w:cs="Cambria Math"/>
                      <w:color w:val="000000"/>
                    </w:rPr>
                  </m:ctrlPr>
                </m:naryPr>
                <m:sub>
                  <m:r>
                    <w:rPr>
                      <w:rFonts w:ascii="Cambria Math" w:eastAsia="Cambria Math" w:hAnsi="Cambria Math" w:cs="Cambria Math"/>
                      <w:color w:val="000000"/>
                    </w:rPr>
                    <m:t>t=1</m:t>
                  </m:r>
                </m:sub>
                <m:sup>
                  <m:r>
                    <w:rPr>
                      <w:rFonts w:ascii="Cambria Math" w:eastAsia="Cambria Math" w:hAnsi="Cambria Math" w:cs="Cambria Math"/>
                      <w:color w:val="000000"/>
                    </w:rPr>
                    <m:t>24</m:t>
                  </m:r>
                </m:sup>
                <m:e>
                  <m:sSub>
                    <m:sSubPr>
                      <m:ctrlPr>
                        <w:rPr>
                          <w:rFonts w:ascii="Cambria Math" w:eastAsia="Cambria Math" w:hAnsi="Cambria Math" w:cs="Cambria Math"/>
                          <w:color w:val="000000"/>
                        </w:rPr>
                      </m:ctrlPr>
                    </m:sSubPr>
                    <m:e>
                      <m:r>
                        <w:rPr>
                          <w:rFonts w:ascii="Cambria Math" w:eastAsia="Cambria Math" w:hAnsi="Cambria Math" w:cs="Cambria Math"/>
                          <w:color w:val="000000"/>
                        </w:rPr>
                        <m:t>CR</m:t>
                      </m:r>
                    </m:e>
                    <m:sub>
                      <m:r>
                        <w:rPr>
                          <w:rFonts w:ascii="Cambria Math" w:eastAsia="Cambria Math" w:hAnsi="Cambria Math" w:cs="Cambria Math"/>
                          <w:color w:val="000000"/>
                        </w:rPr>
                        <m:t>t</m:t>
                      </m:r>
                    </m:sub>
                  </m:sSub>
                  <m:r>
                    <w:rPr>
                      <w:rFonts w:ascii="Cambria Math" w:eastAsia="Cambria Math" w:hAnsi="Cambria Math" w:cs="Cambria Math"/>
                      <w:color w:val="000000"/>
                    </w:rPr>
                    <m:t>⋅</m:t>
                  </m:r>
                  <m:sSub>
                    <m:sSubPr>
                      <m:ctrlPr>
                        <w:rPr>
                          <w:rFonts w:ascii="Cambria Math" w:eastAsia="Cambria Math" w:hAnsi="Cambria Math" w:cs="Cambria Math"/>
                          <w:color w:val="000000"/>
                        </w:rPr>
                      </m:ctrlPr>
                    </m:sSubPr>
                    <m:e>
                      <m:r>
                        <w:rPr>
                          <w:rFonts w:ascii="Cambria Math" w:eastAsia="Cambria Math" w:hAnsi="Cambria Math" w:cs="Cambria Math"/>
                          <w:color w:val="000000"/>
                        </w:rPr>
                        <m:t>r</m:t>
                      </m:r>
                    </m:e>
                    <m:sub>
                      <m:r>
                        <w:rPr>
                          <w:rFonts w:ascii="Cambria Math" w:eastAsia="Cambria Math" w:hAnsi="Cambria Math" w:cs="Cambria Math"/>
                          <w:color w:val="000000"/>
                        </w:rPr>
                        <m:t>t</m:t>
                      </m:r>
                    </m:sub>
                  </m:sSub>
                </m:e>
              </m:nary>
              <m:r>
                <w:rPr>
                  <w:rFonts w:ascii="Cambria Math" w:eastAsia="Cambria Math" w:hAnsi="Cambria Math" w:cs="Cambria Math"/>
                  <w:color w:val="000000"/>
                </w:rPr>
                <m:t xml:space="preserve">  #</m:t>
              </m:r>
              <m:d>
                <m:dPr>
                  <m:ctrlPr>
                    <w:rPr>
                      <w:rFonts w:ascii="Cambria Math" w:eastAsia="Cambria Math" w:hAnsi="Cambria Math" w:cs="Cambria Math"/>
                      <w:color w:val="000000"/>
                    </w:rPr>
                  </m:ctrlPr>
                </m:dPr>
                <m:e>
                  <m:r>
                    <w:rPr>
                      <w:rFonts w:ascii="Cambria Math" w:eastAsia="Cambria Math" w:hAnsi="Cambria Math" w:cs="Cambria Math"/>
                      <w:color w:val="000000"/>
                    </w:rPr>
                    <m:t>1</m:t>
                  </m:r>
                </m:e>
              </m:d>
            </m:e>
          </m:eqArr>
        </m:oMath>
      </m:oMathPara>
    </w:p>
    <w:p w14:paraId="678E06CB" w14:textId="77777777" w:rsidR="00776708" w:rsidRPr="00776708" w:rsidRDefault="00776708" w:rsidP="00742320">
      <w:pPr>
        <w:pStyle w:val="IEEEPrafo"/>
        <w:rPr>
          <w:rFonts w:eastAsiaTheme="minorEastAsia"/>
          <w:i/>
          <w:color w:val="000000"/>
        </w:rPr>
      </w:pPr>
    </w:p>
    <w:p w14:paraId="53BEFB97" w14:textId="2045794C" w:rsidR="00742320" w:rsidRDefault="00742320" w:rsidP="000D6AB9">
      <w:pPr>
        <w:pStyle w:val="IEEEPrafo"/>
        <w:rPr>
          <w:sz w:val="26"/>
          <w:szCs w:val="26"/>
        </w:rPr>
      </w:pPr>
      <w:r>
        <w:t>La función objetivo (1) consiste en minimizar el costo de generación para el despacho económico. Tiene en cuenta (en orden de izquierda a derecha) el precio de generación de las centrales eléctricas, la generación de cada central eléctrica</w:t>
      </w:r>
      <w:r w:rsidR="0086127A">
        <w:t xml:space="preserve">, </w:t>
      </w:r>
      <w:r>
        <w:t xml:space="preserve">el precio de arranque y parada de las centrales termoeléctricas, el arranque de las centrales termoeléctricas en un tiempo determinado, el costo de penalización por racionamiento y la magnitud del racionamiento programado en un tiempo determinado </w:t>
      </w:r>
      <w:r w:rsidR="0086127A">
        <w:fldChar w:fldCharType="begin" w:fldLock="1"/>
      </w:r>
      <w:r w:rsidR="0086127A">
        <w:instrText>ADDIN CSL_CITATION {"citationItems":[{"id":"ITEM-1","itemData":{"author":[{"dropping-particle":"","family":"Valenzuela Hernández","given":"Juan Guillermo","non-dropping-particle":"","parse-names":false,"suffix":""}],"id":"ITEM-1","issued":{"date-parts":[["2015","6"]]},"publisher":"Universidad Tecnológica de Pereira","publisher-place":"Pereira","title":"Desarrollo de un modelo de programación óptima de unidades de generación de energía eléctrica para el sistema eléctrico colombiano.","type":"thesis"},"uris":["http://www.mendeley.com/documents/?uuid=52cc619c-bc60-3421-af40-331b975fca32"]},{"id":"ITEM-2","itemData":{"author":[{"dropping-particle":"","family":"Carreño","given":"Oscar","non-dropping-particle":"","parse-names":false,"suffix":""}],"id":"ITEM-2","issued":{"date-parts":[["2020"]]},"title":"Optimización de sistemas de potencia.","type":"article"},"uris":["http://www.mendeley.com/documents/?uuid=6cbadba7-c446-4362-94eb-fa8b74cbf768"]}],"mendeley":{"formattedCitation":"[10], [11]","plainTextFormattedCitation":"[10], [11]","previouslyFormattedCitation":"[10], [11]"},"properties":{"noteIndex":0},"schema":"https://github.com/citation-style-language/schema/raw/master/csl-citation.json"}</w:instrText>
      </w:r>
      <w:r w:rsidR="0086127A">
        <w:fldChar w:fldCharType="separate"/>
      </w:r>
      <w:r w:rsidR="0086127A" w:rsidRPr="0086127A">
        <w:rPr>
          <w:noProof/>
        </w:rPr>
        <w:t>[10], [11]</w:t>
      </w:r>
      <w:r w:rsidR="0086127A">
        <w:fldChar w:fldCharType="end"/>
      </w:r>
      <w:r>
        <w:t>.</w:t>
      </w:r>
    </w:p>
    <w:p w14:paraId="4B54FEC6" w14:textId="5EE6399B" w:rsidR="00742320" w:rsidRDefault="00742320" w:rsidP="000D6AB9">
      <w:pPr>
        <w:pStyle w:val="IEEEPrafo"/>
      </w:pPr>
      <w:r>
        <w:t xml:space="preserve">Las restricciones de la función objetivo, explicadas a continuación, acotan las posibles soluciones a valores acordes </w:t>
      </w:r>
      <w:r>
        <w:lastRenderedPageBreak/>
        <w:t>con las condiciones planteadas para el despacho económico</w:t>
      </w:r>
      <w:r w:rsidR="0086127A">
        <w:t xml:space="preserve"> </w:t>
      </w:r>
      <w:r w:rsidR="0086127A">
        <w:fldChar w:fldCharType="begin" w:fldLock="1"/>
      </w:r>
      <w:r w:rsidR="0086127A">
        <w:instrText>ADDIN CSL_CITATION {"citationItems":[{"id":"ITEM-1","itemData":{"author":[{"dropping-particle":"","family":"Valenzuela Hernández","given":"Juan Guillermo","non-dropping-particle":"","parse-names":false,"suffix":""}],"id":"ITEM-1","issued":{"date-parts":[["2015","6"]]},"publisher":"Universidad Tecnológica de Pereira","publisher-place":"Pereira","title":"Desarrollo de un modelo de programación óptima de unidades de generación de energía eléctrica para el sistema eléctrico colombiano.","type":"thesis"},"uris":["http://www.mendeley.com/documents/?uuid=52cc619c-bc60-3421-af40-331b975fca32"]},{"id":"ITEM-2","itemData":{"author":[{"dropping-particle":"","family":"Carreño","given":"Oscar","non-dropping-particle":"","parse-names":false,"suffix":""}],"id":"ITEM-2","issued":{"date-parts":[["2020"]]},"title":"Optimización de sistemas de potencia.","type":"article"},"uris":["http://www.mendeley.com/documents/?uuid=6cbadba7-c446-4362-94eb-fa8b74cbf768"]}],"mendeley":{"formattedCitation":"[10], [11]","plainTextFormattedCitation":"[10], [11]","previouslyFormattedCitation":"[10], [11]"},"properties":{"noteIndex":0},"schema":"https://github.com/citation-style-language/schema/raw/master/csl-citation.json"}</w:instrText>
      </w:r>
      <w:r w:rsidR="0086127A">
        <w:fldChar w:fldCharType="separate"/>
      </w:r>
      <w:r w:rsidR="0086127A" w:rsidRPr="0086127A">
        <w:rPr>
          <w:noProof/>
        </w:rPr>
        <w:t>[10], [11]</w:t>
      </w:r>
      <w:r w:rsidR="0086127A">
        <w:fldChar w:fldCharType="end"/>
      </w:r>
      <w:r>
        <w:t>.</w:t>
      </w:r>
    </w:p>
    <w:p w14:paraId="5DFDAC19" w14:textId="77777777" w:rsidR="00742320" w:rsidRDefault="00742320" w:rsidP="000D6AB9">
      <w:pPr>
        <w:pStyle w:val="IEEEPrafo"/>
      </w:pPr>
    </w:p>
    <w:p w14:paraId="1F817383" w14:textId="77777777" w:rsidR="00776708" w:rsidRPr="00776708" w:rsidRDefault="000352A9" w:rsidP="000D6AB9">
      <w:pPr>
        <w:pStyle w:val="IEEEPrafo"/>
      </w:pPr>
      <m:oMathPara>
        <m:oMath>
          <m:eqArr>
            <m:eqArrPr>
              <m:maxDist m:val="1"/>
              <m:ctrlPr>
                <w:rPr>
                  <w:rFonts w:ascii="Cambria Math" w:eastAsia="Cambria Math" w:hAnsi="Cambria Math" w:cs="Cambria Math"/>
                  <w:i/>
                  <w:sz w:val="22"/>
                  <w:szCs w:val="22"/>
                </w:rPr>
              </m:ctrlPr>
            </m:eqArrPr>
            <m:e>
              <m:sSub>
                <m:sSubPr>
                  <m:ctrlPr>
                    <w:rPr>
                      <w:rFonts w:ascii="Cambria Math" w:eastAsia="Cambria Math" w:hAnsi="Cambria Math" w:cs="Cambria Math"/>
                      <w:sz w:val="22"/>
                      <w:szCs w:val="22"/>
                    </w:rPr>
                  </m:ctrlPr>
                </m:sSubPr>
                <m:e>
                  <m:r>
                    <w:rPr>
                      <w:rFonts w:ascii="Cambria Math" w:eastAsia="Cambria Math" w:hAnsi="Cambria Math" w:cs="Cambria Math"/>
                      <w:sz w:val="22"/>
                      <w:szCs w:val="22"/>
                    </w:rPr>
                    <m:t>g</m:t>
                  </m:r>
                </m:e>
                <m:sub>
                  <m:r>
                    <w:rPr>
                      <w:rFonts w:ascii="Cambria Math" w:eastAsia="Cambria Math" w:hAnsi="Cambria Math" w:cs="Cambria Math"/>
                      <w:sz w:val="22"/>
                      <w:szCs w:val="22"/>
                    </w:rPr>
                    <m:t>i,t</m:t>
                  </m:r>
                </m:sub>
              </m:sSub>
              <m:r>
                <w:rPr>
                  <w:rFonts w:ascii="Cambria Math" w:eastAsia="Cambria Math" w:hAnsi="Cambria Math" w:cs="Cambria Math"/>
                  <w:sz w:val="22"/>
                  <w:szCs w:val="22"/>
                </w:rPr>
                <m:t>-</m:t>
              </m:r>
              <m:sSub>
                <m:sSubPr>
                  <m:ctrlPr>
                    <w:rPr>
                      <w:rFonts w:ascii="Cambria Math" w:eastAsia="Cambria Math" w:hAnsi="Cambria Math" w:cs="Cambria Math"/>
                      <w:sz w:val="22"/>
                      <w:szCs w:val="22"/>
                    </w:rPr>
                  </m:ctrlPr>
                </m:sSubPr>
                <m:e>
                  <m:r>
                    <w:rPr>
                      <w:rFonts w:ascii="Cambria Math" w:eastAsia="Cambria Math" w:hAnsi="Cambria Math" w:cs="Cambria Math"/>
                    </w:rPr>
                    <m:t>max</m:t>
                  </m:r>
                </m:e>
                <m:sub>
                  <m:r>
                    <w:rPr>
                      <w:rFonts w:ascii="Cambria Math" w:eastAsia="Cambria Math" w:hAnsi="Cambria Math" w:cs="Cambria Math"/>
                      <w:sz w:val="22"/>
                      <w:szCs w:val="22"/>
                    </w:rPr>
                    <m:t>i,t</m:t>
                  </m:r>
                </m:sub>
              </m:sSub>
              <m:r>
                <w:rPr>
                  <w:rFonts w:ascii="Cambria Math" w:eastAsia="Cambria Math" w:hAnsi="Cambria Math" w:cs="Cambria Math"/>
                  <w:sz w:val="22"/>
                  <w:szCs w:val="22"/>
                </w:rPr>
                <m:t>⋅</m:t>
              </m:r>
              <m:sSub>
                <m:sSubPr>
                  <m:ctrlPr>
                    <w:rPr>
                      <w:rFonts w:ascii="Cambria Math" w:eastAsia="Cambria Math" w:hAnsi="Cambria Math" w:cs="Cambria Math"/>
                      <w:sz w:val="22"/>
                      <w:szCs w:val="22"/>
                    </w:rPr>
                  </m:ctrlPr>
                </m:sSubPr>
                <m:e>
                  <m:r>
                    <w:rPr>
                      <w:rFonts w:ascii="Cambria Math" w:eastAsia="Cambria Math" w:hAnsi="Cambria Math" w:cs="Cambria Math"/>
                      <w:sz w:val="22"/>
                      <w:szCs w:val="22"/>
                    </w:rPr>
                    <m:t>u</m:t>
                  </m:r>
                </m:e>
                <m:sub>
                  <m:r>
                    <w:rPr>
                      <w:rFonts w:ascii="Cambria Math" w:eastAsia="Cambria Math" w:hAnsi="Cambria Math" w:cs="Cambria Math"/>
                      <w:sz w:val="22"/>
                      <w:szCs w:val="22"/>
                    </w:rPr>
                    <m:t>i,t</m:t>
                  </m:r>
                </m:sub>
              </m:sSub>
              <m:r>
                <w:rPr>
                  <w:rFonts w:ascii="Cambria Math" w:eastAsia="Cambria Math" w:hAnsi="Cambria Math" w:cs="Cambria Math"/>
                  <w:sz w:val="22"/>
                  <w:szCs w:val="22"/>
                </w:rPr>
                <m:t>≤0; ∀i, ∀t #</m:t>
              </m:r>
              <m:d>
                <m:dPr>
                  <m:ctrlPr>
                    <w:rPr>
                      <w:rFonts w:ascii="Cambria Math" w:eastAsia="Cambria Math" w:hAnsi="Cambria Math" w:cs="Cambria Math"/>
                      <w:sz w:val="22"/>
                      <w:szCs w:val="22"/>
                    </w:rPr>
                  </m:ctrlPr>
                </m:dPr>
                <m:e>
                  <m:r>
                    <w:rPr>
                      <w:rFonts w:ascii="Cambria Math" w:eastAsia="Cambria Math" w:hAnsi="Cambria Math" w:cs="Cambria Math"/>
                      <w:sz w:val="22"/>
                      <w:szCs w:val="22"/>
                    </w:rPr>
                    <m:t>2</m:t>
                  </m:r>
                </m:e>
              </m:d>
            </m:e>
          </m:eqArr>
        </m:oMath>
      </m:oMathPara>
    </w:p>
    <w:p w14:paraId="11941FA4" w14:textId="3740C15B" w:rsidR="00742320" w:rsidRPr="00776708" w:rsidRDefault="000352A9" w:rsidP="000D6AB9">
      <w:pPr>
        <w:pStyle w:val="IEEEPrafo"/>
      </w:pPr>
      <m:oMathPara>
        <m:oMath>
          <m:eqArr>
            <m:eqArrPr>
              <m:maxDist m:val="1"/>
              <m:ctrlPr>
                <w:rPr>
                  <w:rFonts w:ascii="Cambria Math" w:eastAsia="Cambria Math" w:hAnsi="Cambria Math" w:cs="Cambria Math"/>
                  <w:i/>
                  <w:sz w:val="22"/>
                  <w:szCs w:val="22"/>
                </w:rPr>
              </m:ctrlPr>
            </m:eqArrPr>
            <m:e>
              <m:sSub>
                <m:sSubPr>
                  <m:ctrlPr>
                    <w:rPr>
                      <w:rFonts w:ascii="Cambria Math" w:eastAsia="Cambria Math" w:hAnsi="Cambria Math" w:cs="Cambria Math"/>
                      <w:sz w:val="22"/>
                      <w:szCs w:val="22"/>
                    </w:rPr>
                  </m:ctrlPr>
                </m:sSubPr>
                <m:e>
                  <m:r>
                    <w:rPr>
                      <w:rFonts w:ascii="Cambria Math" w:eastAsia="Cambria Math" w:hAnsi="Cambria Math" w:cs="Cambria Math"/>
                      <w:sz w:val="22"/>
                      <w:szCs w:val="22"/>
                    </w:rPr>
                    <m:t>g</m:t>
                  </m:r>
                </m:e>
                <m:sub>
                  <m:r>
                    <w:rPr>
                      <w:rFonts w:ascii="Cambria Math" w:eastAsia="Cambria Math" w:hAnsi="Cambria Math" w:cs="Cambria Math"/>
                      <w:sz w:val="22"/>
                      <w:szCs w:val="22"/>
                    </w:rPr>
                    <m:t>i,t</m:t>
                  </m:r>
                </m:sub>
              </m:sSub>
              <m:r>
                <w:rPr>
                  <w:rFonts w:ascii="Cambria Math" w:eastAsia="Cambria Math" w:hAnsi="Cambria Math" w:cs="Cambria Math"/>
                  <w:sz w:val="22"/>
                  <w:szCs w:val="22"/>
                </w:rPr>
                <m:t>-</m:t>
              </m:r>
              <m:sSub>
                <m:sSubPr>
                  <m:ctrlPr>
                    <w:rPr>
                      <w:rFonts w:ascii="Cambria Math" w:eastAsia="Cambria Math" w:hAnsi="Cambria Math" w:cs="Cambria Math"/>
                      <w:sz w:val="22"/>
                      <w:szCs w:val="22"/>
                    </w:rPr>
                  </m:ctrlPr>
                </m:sSubPr>
                <m:e>
                  <m:r>
                    <w:rPr>
                      <w:rFonts w:ascii="Cambria Math" w:eastAsia="Cambria Math" w:hAnsi="Cambria Math" w:cs="Cambria Math"/>
                      <w:sz w:val="22"/>
                      <w:szCs w:val="22"/>
                    </w:rPr>
                    <m:t>min</m:t>
                  </m:r>
                </m:e>
                <m:sub>
                  <m:r>
                    <w:rPr>
                      <w:rFonts w:ascii="Cambria Math" w:eastAsia="Cambria Math" w:hAnsi="Cambria Math" w:cs="Cambria Math"/>
                      <w:sz w:val="22"/>
                      <w:szCs w:val="22"/>
                    </w:rPr>
                    <m:t>i,t</m:t>
                  </m:r>
                </m:sub>
              </m:sSub>
              <m:r>
                <w:rPr>
                  <w:rFonts w:ascii="Cambria Math" w:eastAsia="Cambria Math" w:hAnsi="Cambria Math" w:cs="Cambria Math"/>
                  <w:sz w:val="22"/>
                  <w:szCs w:val="22"/>
                </w:rPr>
                <m:t>⋅</m:t>
              </m:r>
              <m:sSub>
                <m:sSubPr>
                  <m:ctrlPr>
                    <w:rPr>
                      <w:rFonts w:ascii="Cambria Math" w:eastAsia="Cambria Math" w:hAnsi="Cambria Math" w:cs="Cambria Math"/>
                      <w:sz w:val="22"/>
                      <w:szCs w:val="22"/>
                    </w:rPr>
                  </m:ctrlPr>
                </m:sSubPr>
                <m:e>
                  <m:r>
                    <w:rPr>
                      <w:rFonts w:ascii="Cambria Math" w:eastAsia="Cambria Math" w:hAnsi="Cambria Math" w:cs="Cambria Math"/>
                      <w:sz w:val="22"/>
                      <w:szCs w:val="22"/>
                    </w:rPr>
                    <m:t>u</m:t>
                  </m:r>
                </m:e>
                <m:sub>
                  <m:r>
                    <w:rPr>
                      <w:rFonts w:ascii="Cambria Math" w:eastAsia="Cambria Math" w:hAnsi="Cambria Math" w:cs="Cambria Math"/>
                      <w:sz w:val="22"/>
                      <w:szCs w:val="22"/>
                    </w:rPr>
                    <m:t>i,t</m:t>
                  </m:r>
                </m:sub>
              </m:sSub>
              <m:r>
                <w:rPr>
                  <w:rFonts w:ascii="Cambria Math" w:eastAsia="Cambria Math" w:hAnsi="Cambria Math" w:cs="Cambria Math"/>
                  <w:sz w:val="22"/>
                  <w:szCs w:val="22"/>
                </w:rPr>
                <m:t>≥0; ∀i, ∀t #</m:t>
              </m:r>
              <m:d>
                <m:dPr>
                  <m:ctrlPr>
                    <w:rPr>
                      <w:rFonts w:ascii="Cambria Math" w:eastAsia="Cambria Math" w:hAnsi="Cambria Math" w:cs="Cambria Math"/>
                      <w:sz w:val="22"/>
                      <w:szCs w:val="22"/>
                    </w:rPr>
                  </m:ctrlPr>
                </m:dPr>
                <m:e>
                  <m:r>
                    <w:rPr>
                      <w:rFonts w:ascii="Cambria Math" w:eastAsia="Cambria Math" w:hAnsi="Cambria Math" w:cs="Cambria Math"/>
                      <w:sz w:val="22"/>
                      <w:szCs w:val="22"/>
                    </w:rPr>
                    <m:t>3</m:t>
                  </m:r>
                </m:e>
              </m:d>
            </m:e>
          </m:eqArr>
        </m:oMath>
      </m:oMathPara>
    </w:p>
    <w:p w14:paraId="19EAFD2A" w14:textId="66FF02B5" w:rsidR="00742320" w:rsidRDefault="00742320" w:rsidP="000D6AB9">
      <w:pPr>
        <w:pStyle w:val="IEEEPrafo"/>
        <w:rPr>
          <w:rFonts w:eastAsiaTheme="minorEastAsia"/>
          <w:sz w:val="24"/>
          <w:szCs w:val="24"/>
        </w:rPr>
      </w:pPr>
    </w:p>
    <w:p w14:paraId="09573420" w14:textId="21BDC0DA" w:rsidR="00742320" w:rsidRPr="000D6AB9" w:rsidRDefault="00742320" w:rsidP="000D6AB9">
      <w:pPr>
        <w:pStyle w:val="IEEEPrafo"/>
      </w:pPr>
      <w:r w:rsidRPr="000D6AB9">
        <w:t>Se plantean las inecuaciones de restricción (2) y (3), que relacionan la variable real de generación en relación con el coste máximo y mínimo asociado a cada generador</w:t>
      </w:r>
      <w:r w:rsidR="00CD1256">
        <w:t xml:space="preserve"> </w:t>
      </w:r>
      <m:oMath>
        <m:d>
          <m:dPr>
            <m:ctrlPr>
              <w:rPr>
                <w:rFonts w:ascii="Cambria Math" w:hAnsi="Cambria Math"/>
                <w:i/>
              </w:rPr>
            </m:ctrlPr>
          </m:dPr>
          <m:e>
            <m:r>
              <w:rPr>
                <w:rFonts w:ascii="Cambria Math" w:hAnsi="Cambria Math"/>
              </w:rPr>
              <m:t>∀i</m:t>
            </m:r>
          </m:e>
        </m:d>
      </m:oMath>
      <w:r w:rsidRPr="000D6AB9">
        <w:t xml:space="preserve"> y por cada periodo de tiempo</w:t>
      </w:r>
      <w:r w:rsidR="00CD1256">
        <w:t xml:space="preserve"> </w:t>
      </w:r>
      <m:oMath>
        <m:d>
          <m:dPr>
            <m:ctrlPr>
              <w:rPr>
                <w:rFonts w:ascii="Cambria Math" w:hAnsi="Cambria Math"/>
                <w:i/>
              </w:rPr>
            </m:ctrlPr>
          </m:dPr>
          <m:e>
            <m:r>
              <w:rPr>
                <w:rFonts w:ascii="Cambria Math" w:hAnsi="Cambria Math"/>
              </w:rPr>
              <m:t>∀t</m:t>
            </m:r>
          </m:e>
        </m:d>
      </m:oMath>
      <w:r w:rsidRPr="000D6AB9">
        <w:t xml:space="preserve"> </w:t>
      </w:r>
      <w:r w:rsidR="0086127A" w:rsidRPr="000D6AB9">
        <w:fldChar w:fldCharType="begin" w:fldLock="1"/>
      </w:r>
      <w:r w:rsidR="00561B48" w:rsidRPr="000D6AB9">
        <w:instrText>ADDIN CSL_CITATION {"citationItems":[{"id":"ITEM-1","itemData":{"author":[{"dropping-particle":"","family":"Valenzuela Hernández","given":"Juan Guillermo","non-dropping-particle":"","parse-names":false,"suffix":""}],"id":"ITEM-1","issued":{"date-parts":[["2015","6"]]},"publisher":"Universidad Tecnológica de Pereira","publisher-place":"Pereira","title":"Desarrollo de un modelo de programación óptima de unidades de generación de energía eléctrica para el sistema eléctrico colombiano.","type":"thesis"},"uris":["http://www.mendeley.com/documents/?uuid=52cc619c-bc60-3421-af40-331b975fca32"]},{"id":"ITEM-2","itemData":{"author":[{"dropping-particle":"","family":"Carreño","given":"Oscar","non-dropping-particle":"","parse-names":false,"suffix":""}],"id":"ITEM-2","issued":{"date-parts":[["2020"]]},"title":"Optimización de sistemas de potencia.","type":"article"},"uris":["http://www.mendeley.com/documents/?uuid=6cbadba7-c446-4362-94eb-fa8b74cbf768"]}],"mendeley":{"formattedCitation":"[10], [11]","plainTextFormattedCitation":"[10], [11]","previouslyFormattedCitation":"[10], [11]"},"properties":{"noteIndex":0},"schema":"https://github.com/citation-style-language/schema/raw/master/csl-citation.json"}</w:instrText>
      </w:r>
      <w:r w:rsidR="0086127A" w:rsidRPr="000D6AB9">
        <w:fldChar w:fldCharType="separate"/>
      </w:r>
      <w:r w:rsidR="0086127A" w:rsidRPr="000D6AB9">
        <w:rPr>
          <w:noProof/>
        </w:rPr>
        <w:t>[10], [11]</w:t>
      </w:r>
      <w:r w:rsidR="0086127A" w:rsidRPr="000D6AB9">
        <w:fldChar w:fldCharType="end"/>
      </w:r>
      <w:r w:rsidR="0086127A" w:rsidRPr="000D6AB9">
        <w:t>.</w:t>
      </w:r>
    </w:p>
    <w:p w14:paraId="71776B44" w14:textId="77777777" w:rsidR="00742320" w:rsidRDefault="00742320" w:rsidP="000D6AB9">
      <w:pPr>
        <w:pStyle w:val="IEEEPrafo"/>
      </w:pPr>
    </w:p>
    <w:p w14:paraId="0D5B0006" w14:textId="38593E4B" w:rsidR="00742320" w:rsidRPr="00776708" w:rsidRDefault="000352A9" w:rsidP="000D6AB9">
      <w:pPr>
        <w:pStyle w:val="IEEEPrafo"/>
        <w:rPr>
          <w:rFonts w:eastAsiaTheme="minorEastAsia"/>
        </w:rPr>
      </w:pPr>
      <m:oMathPara>
        <m:oMath>
          <m:eqArr>
            <m:eqArrPr>
              <m:maxDist m:val="1"/>
              <m:ctrlPr>
                <w:rPr>
                  <w:rFonts w:ascii="Cambria Math" w:eastAsia="Cambria Math" w:hAnsi="Cambria Math" w:cs="Cambria Math"/>
                  <w:i/>
                  <w:sz w:val="22"/>
                  <w:szCs w:val="22"/>
                </w:rPr>
              </m:ctrlPr>
            </m:eqArrPr>
            <m:e>
              <m:sSub>
                <m:sSubPr>
                  <m:ctrlPr>
                    <w:rPr>
                      <w:rFonts w:ascii="Cambria Math" w:eastAsia="Cambria Math" w:hAnsi="Cambria Math" w:cs="Cambria Math"/>
                      <w:sz w:val="22"/>
                      <w:szCs w:val="22"/>
                    </w:rPr>
                  </m:ctrlPr>
                </m:sSubPr>
                <m:e>
                  <m:r>
                    <w:rPr>
                      <w:rFonts w:ascii="Cambria Math" w:eastAsia="Cambria Math" w:hAnsi="Cambria Math" w:cs="Cambria Math"/>
                      <w:sz w:val="22"/>
                      <w:szCs w:val="22"/>
                    </w:rPr>
                    <m:t>a</m:t>
                  </m:r>
                </m:e>
                <m:sub>
                  <m:r>
                    <w:rPr>
                      <w:rFonts w:ascii="Cambria Math" w:eastAsia="Cambria Math" w:hAnsi="Cambria Math" w:cs="Cambria Math"/>
                      <w:sz w:val="22"/>
                      <w:szCs w:val="22"/>
                    </w:rPr>
                    <m:t>t,i</m:t>
                  </m:r>
                </m:sub>
              </m:sSub>
              <m:r>
                <w:rPr>
                  <w:rFonts w:ascii="Cambria Math" w:eastAsia="Cambria Math" w:hAnsi="Cambria Math" w:cs="Cambria Math"/>
                  <w:sz w:val="22"/>
                  <w:szCs w:val="22"/>
                </w:rPr>
                <m:t>-</m:t>
              </m:r>
              <m:sSub>
                <m:sSubPr>
                  <m:ctrlPr>
                    <w:rPr>
                      <w:rFonts w:ascii="Cambria Math" w:eastAsia="Cambria Math" w:hAnsi="Cambria Math" w:cs="Cambria Math"/>
                      <w:sz w:val="22"/>
                      <w:szCs w:val="22"/>
                    </w:rPr>
                  </m:ctrlPr>
                </m:sSubPr>
                <m:e>
                  <m:r>
                    <w:rPr>
                      <w:rFonts w:ascii="Cambria Math" w:eastAsia="Cambria Math" w:hAnsi="Cambria Math" w:cs="Cambria Math"/>
                      <w:sz w:val="22"/>
                      <w:szCs w:val="22"/>
                    </w:rPr>
                    <m:t>p</m:t>
                  </m:r>
                </m:e>
                <m:sub>
                  <m:r>
                    <w:rPr>
                      <w:rFonts w:ascii="Cambria Math" w:eastAsia="Cambria Math" w:hAnsi="Cambria Math" w:cs="Cambria Math"/>
                      <w:sz w:val="22"/>
                      <w:szCs w:val="22"/>
                    </w:rPr>
                    <m:t>t,i</m:t>
                  </m:r>
                </m:sub>
              </m:sSub>
              <m:r>
                <w:rPr>
                  <w:rFonts w:ascii="Cambria Math" w:eastAsia="Cambria Math" w:hAnsi="Cambria Math" w:cs="Cambria Math"/>
                  <w:sz w:val="22"/>
                  <w:szCs w:val="22"/>
                </w:rPr>
                <m:t>≥</m:t>
              </m:r>
              <m:sSub>
                <m:sSubPr>
                  <m:ctrlPr>
                    <w:rPr>
                      <w:rFonts w:ascii="Cambria Math" w:eastAsia="Cambria Math" w:hAnsi="Cambria Math" w:cs="Cambria Math"/>
                      <w:sz w:val="22"/>
                      <w:szCs w:val="22"/>
                    </w:rPr>
                  </m:ctrlPr>
                </m:sSubPr>
                <m:e>
                  <m:r>
                    <w:rPr>
                      <w:rFonts w:ascii="Cambria Math" w:eastAsia="Cambria Math" w:hAnsi="Cambria Math" w:cs="Cambria Math"/>
                      <w:sz w:val="22"/>
                      <w:szCs w:val="22"/>
                    </w:rPr>
                    <m:t>u</m:t>
                  </m:r>
                </m:e>
                <m:sub>
                  <m:r>
                    <w:rPr>
                      <w:rFonts w:ascii="Cambria Math" w:eastAsia="Cambria Math" w:hAnsi="Cambria Math" w:cs="Cambria Math"/>
                      <w:sz w:val="22"/>
                      <w:szCs w:val="22"/>
                    </w:rPr>
                    <m:t>t,i</m:t>
                  </m:r>
                </m:sub>
              </m:sSub>
              <m:r>
                <w:rPr>
                  <w:rFonts w:ascii="Cambria Math" w:eastAsia="Cambria Math" w:hAnsi="Cambria Math" w:cs="Cambria Math"/>
                  <w:sz w:val="22"/>
                  <w:szCs w:val="22"/>
                </w:rPr>
                <m:t xml:space="preserve">- </m:t>
              </m:r>
              <m:sSub>
                <m:sSubPr>
                  <m:ctrlPr>
                    <w:rPr>
                      <w:rFonts w:ascii="Cambria Math" w:eastAsia="Cambria Math" w:hAnsi="Cambria Math" w:cs="Cambria Math"/>
                      <w:sz w:val="22"/>
                      <w:szCs w:val="22"/>
                    </w:rPr>
                  </m:ctrlPr>
                </m:sSubPr>
                <m:e>
                  <m:r>
                    <w:rPr>
                      <w:rFonts w:ascii="Cambria Math" w:eastAsia="Cambria Math" w:hAnsi="Cambria Math" w:cs="Cambria Math"/>
                      <w:sz w:val="22"/>
                      <w:szCs w:val="22"/>
                    </w:rPr>
                    <m:t>u</m:t>
                  </m:r>
                </m:e>
                <m:sub>
                  <m:r>
                    <w:rPr>
                      <w:rFonts w:ascii="Cambria Math" w:eastAsia="Cambria Math" w:hAnsi="Cambria Math" w:cs="Cambria Math"/>
                      <w:sz w:val="22"/>
                      <w:szCs w:val="22"/>
                    </w:rPr>
                    <m:t>t-1,i</m:t>
                  </m:r>
                </m:sub>
              </m:sSub>
              <m:r>
                <w:rPr>
                  <w:rFonts w:ascii="Cambria Math" w:eastAsia="Cambria Math" w:hAnsi="Cambria Math" w:cs="Cambria Math"/>
                  <w:sz w:val="22"/>
                  <w:szCs w:val="22"/>
                </w:rPr>
                <m:t xml:space="preserve"> ; ∀i, ∀t #</m:t>
              </m:r>
              <m:d>
                <m:dPr>
                  <m:ctrlPr>
                    <w:rPr>
                      <w:rFonts w:ascii="Cambria Math" w:eastAsia="Cambria Math" w:hAnsi="Cambria Math" w:cs="Cambria Math"/>
                      <w:sz w:val="22"/>
                      <w:szCs w:val="22"/>
                    </w:rPr>
                  </m:ctrlPr>
                </m:dPr>
                <m:e>
                  <m:r>
                    <w:rPr>
                      <w:rFonts w:ascii="Cambria Math" w:eastAsia="Cambria Math" w:hAnsi="Cambria Math" w:cs="Cambria Math"/>
                      <w:sz w:val="22"/>
                      <w:szCs w:val="22"/>
                    </w:rPr>
                    <m:t>4</m:t>
                  </m:r>
                </m:e>
              </m:d>
            </m:e>
          </m:eqArr>
        </m:oMath>
      </m:oMathPara>
    </w:p>
    <w:p w14:paraId="20DD8115" w14:textId="77777777" w:rsidR="00742320" w:rsidRDefault="00742320" w:rsidP="000D6AB9">
      <w:pPr>
        <w:pStyle w:val="IEEEPrafo"/>
      </w:pPr>
    </w:p>
    <w:p w14:paraId="6CADCA2F" w14:textId="5020BA7E" w:rsidR="00742320" w:rsidRDefault="00742320" w:rsidP="000D6AB9">
      <w:pPr>
        <w:pStyle w:val="IEEEPrafo"/>
      </w:pPr>
      <w:r>
        <w:t xml:space="preserve">Se emplea la restricción (4), donde </w:t>
      </w:r>
      <m:oMath>
        <m:sSub>
          <m:sSubPr>
            <m:ctrlPr>
              <w:rPr>
                <w:rFonts w:ascii="Cambria Math" w:eastAsia="Cambria Math" w:hAnsi="Cambria Math" w:cs="Cambria Math"/>
              </w:rPr>
            </m:ctrlPr>
          </m:sSubPr>
          <m:e>
            <m:r>
              <w:rPr>
                <w:rFonts w:ascii="Cambria Math" w:eastAsia="Cambria Math" w:hAnsi="Cambria Math" w:cs="Cambria Math"/>
              </w:rPr>
              <m:t>a</m:t>
            </m:r>
          </m:e>
          <m:sub>
            <m:r>
              <w:rPr>
                <w:rFonts w:ascii="Cambria Math" w:eastAsia="Cambria Math" w:hAnsi="Cambria Math" w:cs="Cambria Math"/>
              </w:rPr>
              <m:t>t,i</m:t>
            </m:r>
          </m:sub>
        </m:sSub>
      </m:oMath>
      <w:r>
        <w:t xml:space="preserve"> es la variable de arranque, </w:t>
      </w:r>
      <m:oMath>
        <m:sSub>
          <m:sSubPr>
            <m:ctrlPr>
              <w:rPr>
                <w:rFonts w:ascii="Cambria Math" w:eastAsia="Cambria Math" w:hAnsi="Cambria Math" w:cs="Cambria Math"/>
              </w:rPr>
            </m:ctrlPr>
          </m:sSubPr>
          <m:e>
            <m:r>
              <w:rPr>
                <w:rFonts w:ascii="Cambria Math" w:eastAsia="Cambria Math" w:hAnsi="Cambria Math" w:cs="Cambria Math"/>
              </w:rPr>
              <m:t>p</m:t>
            </m:r>
          </m:e>
          <m:sub>
            <m:r>
              <w:rPr>
                <w:rFonts w:ascii="Cambria Math" w:eastAsia="Cambria Math" w:hAnsi="Cambria Math" w:cs="Cambria Math"/>
              </w:rPr>
              <m:t>t,i</m:t>
            </m:r>
          </m:sub>
        </m:sSub>
      </m:oMath>
      <w:r>
        <w:t xml:space="preserve"> es la variable de parada, </w:t>
      </w:r>
      <m:oMath>
        <m:sSub>
          <m:sSubPr>
            <m:ctrlPr>
              <w:rPr>
                <w:rFonts w:ascii="Cambria Math" w:eastAsia="Cambria Math" w:hAnsi="Cambria Math" w:cs="Cambria Math"/>
              </w:rPr>
            </m:ctrlPr>
          </m:sSubPr>
          <m:e>
            <m:r>
              <w:rPr>
                <w:rFonts w:ascii="Cambria Math" w:eastAsia="Cambria Math" w:hAnsi="Cambria Math" w:cs="Cambria Math"/>
              </w:rPr>
              <m:t>u</m:t>
            </m:r>
          </m:e>
          <m:sub>
            <m:r>
              <w:rPr>
                <w:rFonts w:ascii="Cambria Math" w:eastAsia="Cambria Math" w:hAnsi="Cambria Math" w:cs="Cambria Math"/>
              </w:rPr>
              <m:t>t,i</m:t>
            </m:r>
          </m:sub>
        </m:sSub>
      </m:oMath>
      <w:r>
        <w:t xml:space="preserve"> es la variable de encendido y </w:t>
      </w:r>
      <m:oMath>
        <m:sSub>
          <m:sSubPr>
            <m:ctrlPr>
              <w:rPr>
                <w:rFonts w:ascii="Cambria Math" w:eastAsia="Cambria Math" w:hAnsi="Cambria Math" w:cs="Cambria Math"/>
              </w:rPr>
            </m:ctrlPr>
          </m:sSubPr>
          <m:e>
            <m:r>
              <w:rPr>
                <w:rFonts w:ascii="Cambria Math" w:eastAsia="Cambria Math" w:hAnsi="Cambria Math" w:cs="Cambria Math"/>
              </w:rPr>
              <m:t>u</m:t>
            </m:r>
          </m:e>
          <m:sub>
            <m:r>
              <w:rPr>
                <w:rFonts w:ascii="Cambria Math" w:eastAsia="Cambria Math" w:hAnsi="Cambria Math" w:cs="Cambria Math"/>
              </w:rPr>
              <m:t>t-1,i</m:t>
            </m:r>
          </m:sub>
        </m:sSub>
      </m:oMath>
      <w:r>
        <w:t xml:space="preserve"> es la variable de apagado </w:t>
      </w:r>
      <w:r w:rsidR="00561B48">
        <w:fldChar w:fldCharType="begin" w:fldLock="1"/>
      </w:r>
      <w:r w:rsidR="00561B48">
        <w:instrText>ADDIN CSL_CITATION {"citationItems":[{"id":"ITEM-1","itemData":{"author":[{"dropping-particle":"","family":"Valenzuela Hernández","given":"Juan Guillermo","non-dropping-particle":"","parse-names":false,"suffix":""}],"id":"ITEM-1","issued":{"date-parts":[["2015","6"]]},"publisher":"Universidad Tecnológica de Pereira","publisher-place":"Pereira","title":"Desarrollo de un modelo de programación óptima de unidades de generación de energía eléctrica para el sistema eléctrico colombiano.","type":"thesis"},"uris":["http://www.mendeley.com/documents/?uuid=52cc619c-bc60-3421-af40-331b975fca32"]},{"id":"ITEM-2","itemData":{"author":[{"dropping-particle":"","family":"Carreño","given":"Oscar","non-dropping-particle":"","parse-names":false,"suffix":""}],"id":"ITEM-2","issued":{"date-parts":[["2020"]]},"title":"Optimización de sistemas de potencia.","type":"article"},"uris":["http://www.mendeley.com/documents/?uuid=6cbadba7-c446-4362-94eb-fa8b74cbf768"]}],"mendeley":{"formattedCitation":"[10], [11]","plainTextFormattedCitation":"[10], [11]","previouslyFormattedCitation":"[10], [11]"},"properties":{"noteIndex":0},"schema":"https://github.com/citation-style-language/schema/raw/master/csl-citation.json"}</w:instrText>
      </w:r>
      <w:r w:rsidR="00561B48">
        <w:fldChar w:fldCharType="separate"/>
      </w:r>
      <w:r w:rsidR="00561B48" w:rsidRPr="00561B48">
        <w:rPr>
          <w:noProof/>
        </w:rPr>
        <w:t>[10], [11]</w:t>
      </w:r>
      <w:r w:rsidR="00561B48">
        <w:fldChar w:fldCharType="end"/>
      </w:r>
      <w:r>
        <w:t>.</w:t>
      </w:r>
    </w:p>
    <w:p w14:paraId="408651EC" w14:textId="77777777" w:rsidR="00742320" w:rsidRDefault="00742320" w:rsidP="000D6AB9">
      <w:pPr>
        <w:pStyle w:val="IEEEPrafo"/>
      </w:pPr>
      <w:r>
        <w:t>Se emplea una variable de arranque y otra de parada para cada hora del día:</w:t>
      </w:r>
    </w:p>
    <w:p w14:paraId="7C019835" w14:textId="77777777" w:rsidR="00742320" w:rsidRDefault="00742320" w:rsidP="000D6AB9">
      <w:pPr>
        <w:pStyle w:val="IEEEPrafo"/>
      </w:pPr>
    </w:p>
    <w:p w14:paraId="6536A45F" w14:textId="77777777" w:rsidR="00776708" w:rsidRPr="00776708" w:rsidRDefault="000352A9" w:rsidP="000D6AB9">
      <w:pPr>
        <w:pStyle w:val="IEEEPrafo"/>
        <w:rPr>
          <w:rFonts w:eastAsiaTheme="minorEastAsia"/>
        </w:rPr>
      </w:pPr>
      <m:oMathPara>
        <m:oMath>
          <m:eqArr>
            <m:eqArrPr>
              <m:maxDist m:val="1"/>
              <m:ctrlPr>
                <w:rPr>
                  <w:rFonts w:ascii="Cambria Math" w:eastAsia="Cambria Math" w:hAnsi="Cambria Math" w:cs="Cambria Math"/>
                  <w:i/>
                  <w:sz w:val="22"/>
                  <w:szCs w:val="22"/>
                </w:rPr>
              </m:ctrlPr>
            </m:eqArrPr>
            <m:e>
              <m:sSub>
                <m:sSubPr>
                  <m:ctrlPr>
                    <w:rPr>
                      <w:rFonts w:ascii="Cambria Math" w:eastAsia="Cambria Math" w:hAnsi="Cambria Math" w:cs="Cambria Math"/>
                      <w:sz w:val="22"/>
                      <w:szCs w:val="22"/>
                    </w:rPr>
                  </m:ctrlPr>
                </m:sSubPr>
                <m:e>
                  <m:r>
                    <w:rPr>
                      <w:rFonts w:ascii="Cambria Math" w:eastAsia="Cambria Math" w:hAnsi="Cambria Math" w:cs="Cambria Math"/>
                      <w:sz w:val="22"/>
                      <w:szCs w:val="22"/>
                    </w:rPr>
                    <m:t>a</m:t>
                  </m:r>
                </m:e>
                <m:sub>
                  <m:r>
                    <w:rPr>
                      <w:rFonts w:ascii="Cambria Math" w:eastAsia="Cambria Math" w:hAnsi="Cambria Math" w:cs="Cambria Math"/>
                      <w:sz w:val="22"/>
                      <w:szCs w:val="22"/>
                    </w:rPr>
                    <m:t>t,i</m:t>
                  </m:r>
                </m:sub>
              </m:sSub>
              <m:r>
                <w:rPr>
                  <w:rFonts w:ascii="Cambria Math" w:eastAsia="Cambria Math" w:hAnsi="Cambria Math" w:cs="Cambria Math"/>
                  <w:sz w:val="22"/>
                  <w:szCs w:val="22"/>
                </w:rPr>
                <m:t>+</m:t>
              </m:r>
              <m:sSub>
                <m:sSubPr>
                  <m:ctrlPr>
                    <w:rPr>
                      <w:rFonts w:ascii="Cambria Math" w:eastAsia="Cambria Math" w:hAnsi="Cambria Math" w:cs="Cambria Math"/>
                      <w:sz w:val="22"/>
                      <w:szCs w:val="22"/>
                    </w:rPr>
                  </m:ctrlPr>
                </m:sSubPr>
                <m:e>
                  <m:r>
                    <w:rPr>
                      <w:rFonts w:ascii="Cambria Math" w:eastAsia="Cambria Math" w:hAnsi="Cambria Math" w:cs="Cambria Math"/>
                      <w:sz w:val="22"/>
                      <w:szCs w:val="22"/>
                    </w:rPr>
                    <m:t>p</m:t>
                  </m:r>
                </m:e>
                <m:sub>
                  <m:r>
                    <w:rPr>
                      <w:rFonts w:ascii="Cambria Math" w:eastAsia="Cambria Math" w:hAnsi="Cambria Math" w:cs="Cambria Math"/>
                      <w:sz w:val="22"/>
                      <w:szCs w:val="22"/>
                    </w:rPr>
                    <m:t>t,i</m:t>
                  </m:r>
                </m:sub>
              </m:sSub>
              <m:r>
                <w:rPr>
                  <w:rFonts w:ascii="Cambria Math" w:eastAsia="Cambria Math" w:hAnsi="Cambria Math" w:cs="Cambria Math"/>
                  <w:sz w:val="22"/>
                  <w:szCs w:val="22"/>
                </w:rPr>
                <m:t>≤1;∀i, ∀t #</m:t>
              </m:r>
              <m:d>
                <m:dPr>
                  <m:ctrlPr>
                    <w:rPr>
                      <w:rFonts w:ascii="Cambria Math" w:eastAsia="Cambria Math" w:hAnsi="Cambria Math" w:cs="Cambria Math"/>
                      <w:sz w:val="22"/>
                      <w:szCs w:val="22"/>
                    </w:rPr>
                  </m:ctrlPr>
                </m:dPr>
                <m:e>
                  <m:r>
                    <w:rPr>
                      <w:rFonts w:ascii="Cambria Math" w:eastAsia="Cambria Math" w:hAnsi="Cambria Math" w:cs="Cambria Math"/>
                      <w:sz w:val="22"/>
                      <w:szCs w:val="22"/>
                    </w:rPr>
                    <m:t>5</m:t>
                  </m:r>
                </m:e>
              </m:d>
            </m:e>
          </m:eqArr>
        </m:oMath>
      </m:oMathPara>
    </w:p>
    <w:p w14:paraId="64392269" w14:textId="7C4CCED6" w:rsidR="00742320" w:rsidRDefault="00742320" w:rsidP="000D6AB9">
      <w:pPr>
        <w:pStyle w:val="IEEEPrafo"/>
      </w:pPr>
    </w:p>
    <w:p w14:paraId="73C478E2" w14:textId="5A7A9B72" w:rsidR="00742320" w:rsidRDefault="00742320" w:rsidP="000D6AB9">
      <w:pPr>
        <w:pStyle w:val="IEEEPrafo"/>
      </w:pPr>
      <w:r>
        <w:t xml:space="preserve">La restricción (5) evita que el arranque o la parada se activen simultáneamente. Asimismo, las restricciones (4) y (5) permiten determinar el comportamiento de las plantas térmicas, observando su condición inicial de operación, como el tiempo de encendido y apagado </w:t>
      </w:r>
      <w:r w:rsidR="00561B48">
        <w:fldChar w:fldCharType="begin" w:fldLock="1"/>
      </w:r>
      <w:r w:rsidR="00561B48">
        <w:instrText>ADDIN CSL_CITATION {"citationItems":[{"id":"ITEM-1","itemData":{"author":[{"dropping-particle":"","family":"Valenzuela Hernández","given":"Juan Guillermo","non-dropping-particle":"","parse-names":false,"suffix":""}],"id":"ITEM-1","issued":{"date-parts":[["2015","6"]]},"publisher":"Universidad Tecnológica de Pereira","publisher-place":"Pereira","title":"Desarrollo de un modelo de programación óptima de unidades de generación de energía eléctrica para el sistema eléctrico colombiano.","type":"thesis"},"uris":["http://www.mendeley.com/documents/?uuid=52cc619c-bc60-3421-af40-331b975fca32"]},{"id":"ITEM-2","itemData":{"author":[{"dropping-particle":"","family":"Carreño","given":"Oscar","non-dropping-particle":"","parse-names":false,"suffix":""}],"id":"ITEM-2","issued":{"date-parts":[["2020"]]},"title":"Optimización de sistemas de potencia.","type":"article"},"uris":["http://www.mendeley.com/documents/?uuid=6cbadba7-c446-4362-94eb-fa8b74cbf768"]}],"mendeley":{"formattedCitation":"[10], [11]","plainTextFormattedCitation":"[10], [11]","previouslyFormattedCitation":"[10], [11]"},"properties":{"noteIndex":0},"schema":"https://github.com/citation-style-language/schema/raw/master/csl-citation.json"}</w:instrText>
      </w:r>
      <w:r w:rsidR="00561B48">
        <w:fldChar w:fldCharType="separate"/>
      </w:r>
      <w:r w:rsidR="00561B48" w:rsidRPr="00561B48">
        <w:rPr>
          <w:noProof/>
        </w:rPr>
        <w:t>[10], [11]</w:t>
      </w:r>
      <w:r w:rsidR="00561B48">
        <w:fldChar w:fldCharType="end"/>
      </w:r>
      <w:r>
        <w:t>.</w:t>
      </w:r>
    </w:p>
    <w:p w14:paraId="535E69B7" w14:textId="77777777" w:rsidR="00742320" w:rsidRDefault="00742320" w:rsidP="000D6AB9">
      <w:pPr>
        <w:pStyle w:val="IEEEPrafo"/>
      </w:pPr>
    </w:p>
    <w:p w14:paraId="0AEF6A58" w14:textId="77777777" w:rsidR="00776708" w:rsidRPr="00401C40" w:rsidRDefault="000352A9" w:rsidP="000D6AB9">
      <w:pPr>
        <w:pStyle w:val="IEEEPrafo"/>
        <w:rPr>
          <w:rFonts w:eastAsiaTheme="minorEastAsia"/>
          <w:sz w:val="22"/>
          <w:szCs w:val="22"/>
        </w:rPr>
      </w:pPr>
      <m:oMathPara>
        <m:oMath>
          <m:eqArr>
            <m:eqArrPr>
              <m:maxDist m:val="1"/>
              <m:ctrlPr>
                <w:rPr>
                  <w:rFonts w:ascii="Cambria Math" w:eastAsia="Cambria Math" w:hAnsi="Cambria Math" w:cs="Cambria Math"/>
                  <w:i/>
                  <w:sz w:val="22"/>
                  <w:szCs w:val="22"/>
                </w:rPr>
              </m:ctrlPr>
            </m:eqArrPr>
            <m:e>
              <m:sSub>
                <m:sSubPr>
                  <m:ctrlPr>
                    <w:rPr>
                      <w:rFonts w:ascii="Cambria Math" w:eastAsia="Cambria Math" w:hAnsi="Cambria Math" w:cs="Cambria Math"/>
                      <w:sz w:val="22"/>
                      <w:szCs w:val="22"/>
                    </w:rPr>
                  </m:ctrlPr>
                </m:sSubPr>
                <m:e>
                  <m:r>
                    <w:rPr>
                      <w:rFonts w:ascii="Cambria Math" w:eastAsia="Cambria Math" w:hAnsi="Cambria Math" w:cs="Cambria Math"/>
                      <w:sz w:val="22"/>
                      <w:szCs w:val="22"/>
                    </w:rPr>
                    <m:t>g</m:t>
                  </m:r>
                </m:e>
                <m:sub>
                  <m:r>
                    <w:rPr>
                      <w:rFonts w:ascii="Cambria Math" w:eastAsia="Cambria Math" w:hAnsi="Cambria Math" w:cs="Cambria Math"/>
                      <w:sz w:val="22"/>
                      <w:szCs w:val="22"/>
                    </w:rPr>
                    <m:t>t,i</m:t>
                  </m:r>
                </m:sub>
              </m:sSub>
              <m:r>
                <w:rPr>
                  <w:rFonts w:ascii="Cambria Math" w:eastAsia="Cambria Math" w:hAnsi="Cambria Math" w:cs="Cambria Math"/>
                  <w:sz w:val="22"/>
                  <w:szCs w:val="22"/>
                </w:rPr>
                <m:t>-</m:t>
              </m:r>
              <m:sSub>
                <m:sSubPr>
                  <m:ctrlPr>
                    <w:rPr>
                      <w:rFonts w:ascii="Cambria Math" w:eastAsia="Cambria Math" w:hAnsi="Cambria Math" w:cs="Cambria Math"/>
                      <w:sz w:val="22"/>
                      <w:szCs w:val="22"/>
                    </w:rPr>
                  </m:ctrlPr>
                </m:sSubPr>
                <m:e>
                  <m:r>
                    <w:rPr>
                      <w:rFonts w:ascii="Cambria Math" w:eastAsia="Cambria Math" w:hAnsi="Cambria Math" w:cs="Cambria Math"/>
                      <w:sz w:val="22"/>
                      <w:szCs w:val="22"/>
                    </w:rPr>
                    <m:t>g</m:t>
                  </m:r>
                </m:e>
                <m:sub>
                  <m:r>
                    <w:rPr>
                      <w:rFonts w:ascii="Cambria Math" w:eastAsia="Cambria Math" w:hAnsi="Cambria Math" w:cs="Cambria Math"/>
                      <w:sz w:val="22"/>
                      <w:szCs w:val="22"/>
                    </w:rPr>
                    <m:t>t-1,i</m:t>
                  </m:r>
                </m:sub>
              </m:sSub>
              <m:r>
                <w:rPr>
                  <w:rFonts w:ascii="Cambria Math" w:eastAsia="Cambria Math" w:hAnsi="Cambria Math" w:cs="Cambria Math"/>
                  <w:sz w:val="22"/>
                  <w:szCs w:val="22"/>
                </w:rPr>
                <m:t>≤U</m:t>
              </m:r>
              <m:sSub>
                <m:sSubPr>
                  <m:ctrlPr>
                    <w:rPr>
                      <w:rFonts w:ascii="Cambria Math" w:eastAsia="Cambria Math" w:hAnsi="Cambria Math" w:cs="Cambria Math"/>
                      <w:sz w:val="22"/>
                      <w:szCs w:val="22"/>
                    </w:rPr>
                  </m:ctrlPr>
                </m:sSubPr>
                <m:e>
                  <m:r>
                    <w:rPr>
                      <w:rFonts w:ascii="Cambria Math" w:eastAsia="Cambria Math" w:hAnsi="Cambria Math" w:cs="Cambria Math"/>
                      <w:sz w:val="22"/>
                      <w:szCs w:val="22"/>
                    </w:rPr>
                    <m:t>R</m:t>
                  </m:r>
                </m:e>
                <m:sub>
                  <m:r>
                    <w:rPr>
                      <w:rFonts w:ascii="Cambria Math" w:eastAsia="Cambria Math" w:hAnsi="Cambria Math" w:cs="Cambria Math"/>
                      <w:sz w:val="22"/>
                      <w:szCs w:val="22"/>
                    </w:rPr>
                    <m:t>i</m:t>
                  </m:r>
                </m:sub>
              </m:sSub>
              <m:r>
                <w:rPr>
                  <w:rFonts w:ascii="Cambria Math" w:eastAsia="Cambria Math" w:hAnsi="Cambria Math" w:cs="Cambria Math"/>
                  <w:sz w:val="22"/>
                  <w:szCs w:val="22"/>
                </w:rPr>
                <m:t>; ∀i, ∀t #</m:t>
              </m:r>
              <m:d>
                <m:dPr>
                  <m:ctrlPr>
                    <w:rPr>
                      <w:rFonts w:ascii="Cambria Math" w:eastAsia="Cambria Math" w:hAnsi="Cambria Math" w:cs="Cambria Math"/>
                      <w:sz w:val="22"/>
                      <w:szCs w:val="22"/>
                    </w:rPr>
                  </m:ctrlPr>
                </m:dPr>
                <m:e>
                  <m:r>
                    <w:rPr>
                      <w:rFonts w:ascii="Cambria Math" w:eastAsia="Cambria Math" w:hAnsi="Cambria Math" w:cs="Cambria Math"/>
                      <w:sz w:val="22"/>
                      <w:szCs w:val="22"/>
                    </w:rPr>
                    <m:t>6</m:t>
                  </m:r>
                </m:e>
              </m:d>
            </m:e>
          </m:eqArr>
        </m:oMath>
      </m:oMathPara>
    </w:p>
    <w:p w14:paraId="31EE42F3" w14:textId="44E10BE3" w:rsidR="00742320" w:rsidRPr="00401C40" w:rsidRDefault="000352A9" w:rsidP="000D6AB9">
      <w:pPr>
        <w:pStyle w:val="IEEEPrafo"/>
        <w:rPr>
          <w:rFonts w:eastAsiaTheme="minorEastAsia"/>
          <w:sz w:val="22"/>
          <w:szCs w:val="22"/>
        </w:rPr>
      </w:pPr>
      <m:oMathPara>
        <m:oMath>
          <m:eqArr>
            <m:eqArrPr>
              <m:maxDist m:val="1"/>
              <m:ctrlPr>
                <w:rPr>
                  <w:rFonts w:ascii="Cambria Math" w:eastAsia="Cambria Math" w:hAnsi="Cambria Math" w:cs="Cambria Math"/>
                  <w:i/>
                  <w:sz w:val="22"/>
                  <w:szCs w:val="22"/>
                </w:rPr>
              </m:ctrlPr>
            </m:eqArrPr>
            <m:e>
              <m:sSub>
                <m:sSubPr>
                  <m:ctrlPr>
                    <w:rPr>
                      <w:rFonts w:ascii="Cambria Math" w:eastAsia="Cambria Math" w:hAnsi="Cambria Math" w:cs="Cambria Math"/>
                      <w:sz w:val="22"/>
                      <w:szCs w:val="22"/>
                    </w:rPr>
                  </m:ctrlPr>
                </m:sSubPr>
                <m:e>
                  <m:r>
                    <w:rPr>
                      <w:rFonts w:ascii="Cambria Math" w:eastAsia="Cambria Math" w:hAnsi="Cambria Math" w:cs="Cambria Math"/>
                      <w:sz w:val="22"/>
                      <w:szCs w:val="22"/>
                    </w:rPr>
                    <m:t>g</m:t>
                  </m:r>
                </m:e>
                <m:sub>
                  <m:r>
                    <w:rPr>
                      <w:rFonts w:ascii="Cambria Math" w:eastAsia="Cambria Math" w:hAnsi="Cambria Math" w:cs="Cambria Math"/>
                      <w:sz w:val="22"/>
                      <w:szCs w:val="22"/>
                    </w:rPr>
                    <m:t>t-1,i</m:t>
                  </m:r>
                </m:sub>
              </m:sSub>
              <m:r>
                <w:rPr>
                  <w:rFonts w:ascii="Cambria Math" w:eastAsia="Cambria Math" w:hAnsi="Cambria Math" w:cs="Cambria Math"/>
                  <w:sz w:val="22"/>
                  <w:szCs w:val="22"/>
                </w:rPr>
                <m:t>-</m:t>
              </m:r>
              <m:sSub>
                <m:sSubPr>
                  <m:ctrlPr>
                    <w:rPr>
                      <w:rFonts w:ascii="Cambria Math" w:eastAsia="Cambria Math" w:hAnsi="Cambria Math" w:cs="Cambria Math"/>
                      <w:sz w:val="22"/>
                      <w:szCs w:val="22"/>
                    </w:rPr>
                  </m:ctrlPr>
                </m:sSubPr>
                <m:e>
                  <m:r>
                    <w:rPr>
                      <w:rFonts w:ascii="Cambria Math" w:eastAsia="Cambria Math" w:hAnsi="Cambria Math" w:cs="Cambria Math"/>
                      <w:sz w:val="22"/>
                      <w:szCs w:val="22"/>
                    </w:rPr>
                    <m:t>g</m:t>
                  </m:r>
                </m:e>
                <m:sub>
                  <m:r>
                    <w:rPr>
                      <w:rFonts w:ascii="Cambria Math" w:eastAsia="Cambria Math" w:hAnsi="Cambria Math" w:cs="Cambria Math"/>
                      <w:sz w:val="22"/>
                      <w:szCs w:val="22"/>
                    </w:rPr>
                    <m:t>t,i</m:t>
                  </m:r>
                </m:sub>
              </m:sSub>
              <m:r>
                <w:rPr>
                  <w:rFonts w:ascii="Cambria Math" w:eastAsia="Cambria Math" w:hAnsi="Cambria Math" w:cs="Cambria Math"/>
                  <w:sz w:val="22"/>
                  <w:szCs w:val="22"/>
                </w:rPr>
                <m:t>≤D</m:t>
              </m:r>
              <m:sSub>
                <m:sSubPr>
                  <m:ctrlPr>
                    <w:rPr>
                      <w:rFonts w:ascii="Cambria Math" w:eastAsia="Cambria Math" w:hAnsi="Cambria Math" w:cs="Cambria Math"/>
                      <w:sz w:val="22"/>
                      <w:szCs w:val="22"/>
                    </w:rPr>
                  </m:ctrlPr>
                </m:sSubPr>
                <m:e>
                  <m:r>
                    <w:rPr>
                      <w:rFonts w:ascii="Cambria Math" w:eastAsia="Cambria Math" w:hAnsi="Cambria Math" w:cs="Cambria Math"/>
                      <w:sz w:val="22"/>
                      <w:szCs w:val="22"/>
                    </w:rPr>
                    <m:t>R</m:t>
                  </m:r>
                </m:e>
                <m:sub>
                  <m:r>
                    <w:rPr>
                      <w:rFonts w:ascii="Cambria Math" w:eastAsia="Cambria Math" w:hAnsi="Cambria Math" w:cs="Cambria Math"/>
                      <w:sz w:val="22"/>
                      <w:szCs w:val="22"/>
                    </w:rPr>
                    <m:t>i</m:t>
                  </m:r>
                </m:sub>
              </m:sSub>
              <m:r>
                <w:rPr>
                  <w:rFonts w:ascii="Cambria Math" w:eastAsia="Cambria Math" w:hAnsi="Cambria Math" w:cs="Cambria Math"/>
                  <w:sz w:val="22"/>
                  <w:szCs w:val="22"/>
                </w:rPr>
                <m:t>;  ∀i, ∀t #(7)</m:t>
              </m:r>
              <m:r>
                <w:rPr>
                  <w:rFonts w:ascii="Cambria Math" w:hAnsi="Cambria Math"/>
                  <w:sz w:val="18"/>
                  <w:szCs w:val="18"/>
                </w:rPr>
                <m:t xml:space="preserve"> </m:t>
              </m:r>
            </m:e>
          </m:eqArr>
        </m:oMath>
      </m:oMathPara>
    </w:p>
    <w:p w14:paraId="1C8B40AB" w14:textId="77777777" w:rsidR="00742320" w:rsidRDefault="00742320" w:rsidP="000D6AB9">
      <w:pPr>
        <w:pStyle w:val="IEEEPrafo"/>
      </w:pPr>
    </w:p>
    <w:p w14:paraId="1FC088B7" w14:textId="3BE92025" w:rsidR="00742320" w:rsidRDefault="00742320" w:rsidP="000D6AB9">
      <w:pPr>
        <w:pStyle w:val="IEEEPrafo"/>
      </w:pPr>
      <w:r>
        <w:t xml:space="preserve">En las restricciones (6) y (7) se relacionan las variables de generación con las rampas especificadas por las plantas térmicas, donde UR y DR son el máximo incremento y máxima disminución de generación de los recursos de generación de energía eléctrica y </w:t>
      </w:r>
      <w:r>
        <w:rPr>
          <w:i/>
        </w:rPr>
        <w:t>g</w:t>
      </w:r>
      <w:r>
        <w:t xml:space="preserve"> es la generación de un recurso determinado en un período de tiempo</w:t>
      </w:r>
      <w:r w:rsidR="0007794E">
        <w:t>.</w:t>
      </w:r>
      <w:r>
        <w:t xml:space="preserve"> </w:t>
      </w:r>
      <w:r w:rsidR="00561B48">
        <w:fldChar w:fldCharType="begin" w:fldLock="1"/>
      </w:r>
      <w:r w:rsidR="007D2615">
        <w:instrText>ADDIN CSL_CITATION {"citationItems":[{"id":"ITEM-1","itemData":{"author":[{"dropping-particle":"","family":"Valenzuela Hernández","given":"Juan Guillermo","non-dropping-particle":"","parse-names":false,"suffix":""}],"id":"ITEM-1","issued":{"date-parts":[["2015","6"]]},"publisher":"Universidad Tecnológica de Pereira","publisher-place":"Pereira","title":"Desarrollo de un modelo de programación óptima de unidades de generación de energía eléctrica para el sistema eléctrico colombiano.","type":"thesis"},"uris":["http://www.mendeley.com/documents/?uuid=52cc619c-bc60-3421-af40-331b975fca32"]},{"id":"ITEM-2","itemData":{"author":[{"dropping-particle":"","family":"Carreño","given":"Oscar","non-dropping-particle":"","parse-names":false,"suffix":""}],"id":"ITEM-2","issued":{"date-parts":[["2020"]]},"title":"Optimización de sistemas de potencia.","type":"article"},"uris":["http://www.mendeley.com/documents/?uuid=6cbadba7-c446-4362-94eb-fa8b74cbf768"]}],"mendeley":{"formattedCitation":"[10], [11]","plainTextFormattedCitation":"[10], [11]","previouslyFormattedCitation":"[10], [11]"},"properties":{"noteIndex":0},"schema":"https://github.com/citation-style-language/schema/raw/master/csl-citation.json"}</w:instrText>
      </w:r>
      <w:r w:rsidR="00561B48">
        <w:fldChar w:fldCharType="separate"/>
      </w:r>
      <w:r w:rsidR="00561B48" w:rsidRPr="00561B48">
        <w:rPr>
          <w:noProof/>
        </w:rPr>
        <w:t>[10], [11]</w:t>
      </w:r>
      <w:r w:rsidR="00561B48">
        <w:fldChar w:fldCharType="end"/>
      </w:r>
      <w:r w:rsidR="000E1AC5">
        <w:t xml:space="preserve">. Para efectos del presente </w:t>
      </w:r>
      <w:r w:rsidR="00B86635">
        <w:t>artículo</w:t>
      </w:r>
      <w:r w:rsidR="000E1AC5">
        <w:t xml:space="preserve">, estas restricciones aplican solo a los recursos térmicos debido a que les toma </w:t>
      </w:r>
      <w:r w:rsidR="0007794E">
        <w:t xml:space="preserve">mucho </w:t>
      </w:r>
      <w:r w:rsidR="000E1AC5">
        <w:t>más tiempo cambiar su generación</w:t>
      </w:r>
      <w:r w:rsidR="0007794E">
        <w:t xml:space="preserve"> en comparación con </w:t>
      </w:r>
      <w:r w:rsidR="00B86635">
        <w:t>otr</w:t>
      </w:r>
      <w:r w:rsidR="00EC44C8">
        <w:t>o</w:t>
      </w:r>
      <w:r w:rsidR="00B86635">
        <w:t>s</w:t>
      </w:r>
      <w:r w:rsidR="00EC44C8">
        <w:t xml:space="preserve"> recursos con otras</w:t>
      </w:r>
      <w:r w:rsidR="00B86635">
        <w:t xml:space="preserve"> fuentes de energía</w:t>
      </w:r>
      <w:r>
        <w:t xml:space="preserve">. </w:t>
      </w:r>
      <w:r w:rsidR="00996777">
        <w:t>Adicionalmente a esta característica de los recursos térmicos, l</w:t>
      </w:r>
      <w:r>
        <w:t>as restricciones (6) y (7) presentan un problema grave: no son capaces de modelar variaciones en la generación dentro de un mismo período</w:t>
      </w:r>
      <w:r w:rsidR="007D2615">
        <w:t xml:space="preserve"> al tratarse de valores bajo una resolución horaria</w:t>
      </w:r>
      <w:r>
        <w:t xml:space="preserve"> y, por consiguiente, no son útiles para acotar resultados factibles de generación para los recursos solares y eólicos, los cuales presentan </w:t>
      </w:r>
      <w:r w:rsidR="007D2615">
        <w:t xml:space="preserve">una </w:t>
      </w:r>
      <w:r>
        <w:t>variabilidad</w:t>
      </w:r>
      <w:r w:rsidR="007D2615">
        <w:t xml:space="preserve"> </w:t>
      </w:r>
      <w:proofErr w:type="spellStart"/>
      <w:r w:rsidR="007D2615">
        <w:t>intrahoraria</w:t>
      </w:r>
      <w:proofErr w:type="spellEnd"/>
      <w:r w:rsidR="007D2615">
        <w:t xml:space="preserve"> </w:t>
      </w:r>
      <w:r w:rsidR="007D2615">
        <w:fldChar w:fldCharType="begin" w:fldLock="1"/>
      </w:r>
      <w:r w:rsidR="00586088">
        <w:instrText>ADDIN CSL_CITATION {"citationItems":[{"id":"ITEM-1","itemData":{"author":[{"dropping-particle":"","family":"Carreno","given":"Oscar Mauricio","non-dropping-particle":"","parse-names":false,"suffix":""}],"id":"ITEM-1","issued":{"date-parts":[["0"]]},"page":"1-11","title":"Modelo Matemático para las tasas de toma de carga y descarga de los recursos de generación.","type":"article-journal"},"uris":["http://www.mendeley.com/documents/?uuid=224be55b-925e-4a19-aaf0-7c99f95ee6f1"]}],"mendeley":{"formattedCitation":"[12]","plainTextFormattedCitation":"[12]","previouslyFormattedCitation":"[12]"},"properties":{"noteIndex":0},"schema":"https://github.com/citation-style-language/schema/raw/master/csl-citation.json"}</w:instrText>
      </w:r>
      <w:r w:rsidR="007D2615">
        <w:fldChar w:fldCharType="separate"/>
      </w:r>
      <w:r w:rsidR="007D2615" w:rsidRPr="007D2615">
        <w:rPr>
          <w:noProof/>
        </w:rPr>
        <w:t>[12]</w:t>
      </w:r>
      <w:r w:rsidR="007D2615">
        <w:fldChar w:fldCharType="end"/>
      </w:r>
      <w:r>
        <w:t xml:space="preserve">. La </w:t>
      </w:r>
      <w:hyperlink w:anchor="Fig1" w:history="1">
        <w:r w:rsidR="00D65165" w:rsidRPr="000D6AB9">
          <w:rPr>
            <w:rStyle w:val="Hipervnculo"/>
            <w:color w:val="auto"/>
            <w:u w:val="none"/>
          </w:rPr>
          <w:t>Fig. 1</w:t>
        </w:r>
      </w:hyperlink>
      <w:r w:rsidR="000D6AB9">
        <w:t xml:space="preserve"> </w:t>
      </w:r>
      <w:r>
        <w:t xml:space="preserve">muestra el </w:t>
      </w:r>
      <m:oMath>
        <m:r>
          <w:rPr>
            <w:rFonts w:ascii="Cambria Math" w:hAnsi="Cambria Math"/>
          </w:rPr>
          <m:t>UR</m:t>
        </m:r>
      </m:oMath>
      <w:r>
        <w:t xml:space="preserve"> cuando se tiene un periodo horario:</w:t>
      </w:r>
    </w:p>
    <w:p w14:paraId="6CC4C4A5" w14:textId="77777777" w:rsidR="00401C40" w:rsidRDefault="00401C40" w:rsidP="000D6AB9">
      <w:pPr>
        <w:pStyle w:val="IEEEPrafo"/>
      </w:pPr>
    </w:p>
    <w:p w14:paraId="3AE9B8F0" w14:textId="77777777" w:rsidR="00561B48" w:rsidRDefault="00742320" w:rsidP="000D6AB9">
      <w:pPr>
        <w:pStyle w:val="IEEEPrafo"/>
        <w:jc w:val="center"/>
      </w:pPr>
      <w:bookmarkStart w:id="0" w:name="Fig1"/>
      <w:r>
        <w:rPr>
          <w:noProof/>
        </w:rPr>
        <w:drawing>
          <wp:inline distT="0" distB="0" distL="0" distR="0" wp14:anchorId="279441B7" wp14:editId="7A3CDEFA">
            <wp:extent cx="2695575" cy="1676414"/>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35029" cy="1700951"/>
                    </a:xfrm>
                    <a:prstGeom prst="rect">
                      <a:avLst/>
                    </a:prstGeom>
                    <a:noFill/>
                    <a:ln>
                      <a:noFill/>
                    </a:ln>
                  </pic:spPr>
                </pic:pic>
              </a:graphicData>
            </a:graphic>
          </wp:inline>
        </w:drawing>
      </w:r>
      <w:bookmarkEnd w:id="0"/>
    </w:p>
    <w:p w14:paraId="781CB1BC" w14:textId="0C672C13" w:rsidR="00742320" w:rsidRPr="000D6AB9" w:rsidRDefault="00561B48" w:rsidP="000D6AB9">
      <w:pPr>
        <w:pStyle w:val="IEEEPrafo"/>
        <w:rPr>
          <w:iCs w:val="0"/>
        </w:rPr>
      </w:pPr>
      <w:r w:rsidRPr="000D6AB9">
        <w:rPr>
          <w:iCs w:val="0"/>
        </w:rPr>
        <w:t xml:space="preserve">Fig.  </w:t>
      </w:r>
      <w:r w:rsidRPr="000D6AB9">
        <w:rPr>
          <w:iCs w:val="0"/>
        </w:rPr>
        <w:fldChar w:fldCharType="begin"/>
      </w:r>
      <w:r w:rsidRPr="000D6AB9">
        <w:rPr>
          <w:iCs w:val="0"/>
        </w:rPr>
        <w:instrText xml:space="preserve"> SEQ Fig._ \* ARABIC </w:instrText>
      </w:r>
      <w:r w:rsidRPr="000D6AB9">
        <w:rPr>
          <w:iCs w:val="0"/>
        </w:rPr>
        <w:fldChar w:fldCharType="separate"/>
      </w:r>
      <w:r w:rsidR="00BA613F">
        <w:rPr>
          <w:iCs w:val="0"/>
          <w:noProof/>
        </w:rPr>
        <w:t>1</w:t>
      </w:r>
      <w:r w:rsidRPr="000D6AB9">
        <w:rPr>
          <w:iCs w:val="0"/>
        </w:rPr>
        <w:fldChar w:fldCharType="end"/>
      </w:r>
      <w:r w:rsidRPr="000D6AB9">
        <w:rPr>
          <w:iCs w:val="0"/>
        </w:rPr>
        <w:t>. Estimación de UR en un período de 60 minutos. Dibujo propio.</w:t>
      </w:r>
    </w:p>
    <w:p w14:paraId="152BBFEB" w14:textId="77777777" w:rsidR="00D041A5" w:rsidRDefault="00D041A5" w:rsidP="000D6AB9">
      <w:pPr>
        <w:pStyle w:val="IEEEPrafo"/>
      </w:pPr>
    </w:p>
    <w:p w14:paraId="7FDB6198" w14:textId="10CAA07B" w:rsidR="00742320" w:rsidRDefault="00742320" w:rsidP="000D6AB9">
      <w:pPr>
        <w:pStyle w:val="IEEEPrafo"/>
      </w:pPr>
      <w:r>
        <w:t>A partir de l</w:t>
      </w:r>
      <w:r w:rsidR="007D2615">
        <w:t xml:space="preserve">a </w:t>
      </w:r>
      <w:hyperlink w:anchor="Fig1" w:history="1">
        <w:r w:rsidR="007D2615" w:rsidRPr="007D2615">
          <w:rPr>
            <w:rStyle w:val="Hipervnculo"/>
            <w:color w:val="auto"/>
            <w:u w:val="none"/>
          </w:rPr>
          <w:t>Fig. 1</w:t>
        </w:r>
      </w:hyperlink>
      <w:r w:rsidR="00561B48">
        <w:t>,</w:t>
      </w:r>
      <w:r>
        <w:t xml:space="preserve"> </w:t>
      </w:r>
      <w:r w:rsidR="00561B48">
        <w:t xml:space="preserve">el </w:t>
      </w:r>
      <w:r>
        <w:t>c</w:t>
      </w:r>
      <w:r w:rsidR="00561B48">
        <w:t>á</w:t>
      </w:r>
      <w:r>
        <w:t>lcul</w:t>
      </w:r>
      <w:r w:rsidR="00561B48">
        <w:t>o d</w:t>
      </w:r>
      <w:r>
        <w:t xml:space="preserve">el valor de </w:t>
      </w:r>
      <m:oMath>
        <m:r>
          <w:rPr>
            <w:rFonts w:ascii="Cambria Math" w:hAnsi="Cambria Math"/>
          </w:rPr>
          <m:t>UR</m:t>
        </m:r>
      </m:oMath>
      <w:r w:rsidR="00561B48">
        <w:rPr>
          <w:rFonts w:eastAsiaTheme="minorEastAsia"/>
        </w:rPr>
        <w:t xml:space="preserve"> se presta para ser más visual</w:t>
      </w:r>
      <w:r w:rsidR="00561B48">
        <w:t>.</w:t>
      </w:r>
      <w:r>
        <w:t xml:space="preserve"> </w:t>
      </w:r>
      <w:r w:rsidR="00561B48">
        <w:t>E</w:t>
      </w:r>
      <w:r>
        <w:t xml:space="preserve">ste se calcula </w:t>
      </w:r>
      <w:r w:rsidR="00D65165">
        <w:t xml:space="preserve">obteniendo el área restante de la curva de potencia en el período </w:t>
      </w:r>
      <w:r w:rsidR="00D65165">
        <w:rPr>
          <w:i/>
        </w:rPr>
        <w:t xml:space="preserve">t </w:t>
      </w:r>
      <w:r w:rsidR="00586088">
        <w:rPr>
          <w:iCs w:val="0"/>
        </w:rPr>
        <w:t xml:space="preserve">(definición de energía) </w:t>
      </w:r>
      <w:r>
        <w:t>de la siguiente forma</w:t>
      </w:r>
      <w:r w:rsidR="00586088">
        <w:t xml:space="preserve"> </w:t>
      </w:r>
      <w:r w:rsidR="00586088">
        <w:fldChar w:fldCharType="begin" w:fldLock="1"/>
      </w:r>
      <w:r w:rsidR="00586088">
        <w:instrText>ADDIN CSL_CITATION {"citationItems":[{"id":"ITEM-1","itemData":{"author":[{"dropping-particle":"","family":"Carreno","given":"Oscar Mauricio","non-dropping-particle":"","parse-names":false,"suffix":""}],"id":"ITEM-1","issued":{"date-parts":[["0"]]},"page":"1-11","title":"Modelo Matemático para las tasas de toma de carga y descarga de los recursos de generación.","type":"article-journal"},"uris":["http://www.mendeley.com/documents/?uuid=224be55b-925e-4a19-aaf0-7c99f95ee6f1"]}],"mendeley":{"formattedCitation":"[12]","plainTextFormattedCitation":"[12]","previouslyFormattedCitation":"[12]"},"properties":{"noteIndex":0},"schema":"https://github.com/citation-style-language/schema/raw/master/csl-citation.json"}</w:instrText>
      </w:r>
      <w:r w:rsidR="00586088">
        <w:fldChar w:fldCharType="separate"/>
      </w:r>
      <w:r w:rsidR="00586088" w:rsidRPr="00586088">
        <w:rPr>
          <w:noProof/>
        </w:rPr>
        <w:t>[12]</w:t>
      </w:r>
      <w:r w:rsidR="00586088">
        <w:fldChar w:fldCharType="end"/>
      </w:r>
      <w:r>
        <w:t>:</w:t>
      </w:r>
    </w:p>
    <w:p w14:paraId="1E3BFE6E" w14:textId="77777777" w:rsidR="00742320" w:rsidRDefault="00742320" w:rsidP="000D6AB9">
      <w:pPr>
        <w:pStyle w:val="IEEEPrafo"/>
      </w:pPr>
    </w:p>
    <w:p w14:paraId="7E9C7F53" w14:textId="77777777" w:rsidR="00742320" w:rsidRPr="001542F3" w:rsidRDefault="00742320" w:rsidP="000D6AB9">
      <w:pPr>
        <w:pStyle w:val="IEEEPrafo"/>
      </w:pPr>
      <m:oMathPara>
        <m:oMath>
          <m:r>
            <w:rPr>
              <w:rFonts w:ascii="Cambria Math" w:hAnsi="Cambria Math"/>
            </w:rPr>
            <m:t>UR=</m:t>
          </m:r>
          <m:d>
            <m:dPr>
              <m:begChr m:val="["/>
              <m:endChr m:val="]"/>
              <m:ctrlPr>
                <w:rPr>
                  <w:rFonts w:ascii="Cambria Math" w:hAnsi="Cambria Math"/>
                  <w:i/>
                </w:rPr>
              </m:ctrlPr>
            </m:dPr>
            <m:e>
              <m:r>
                <w:rPr>
                  <w:rFonts w:ascii="Cambria Math" w:hAnsi="Cambria Math"/>
                </w:rPr>
                <m:t>150-</m:t>
              </m:r>
              <m:d>
                <m:dPr>
                  <m:ctrlPr>
                    <w:rPr>
                      <w:rFonts w:ascii="Cambria Math" w:hAnsi="Cambria Math"/>
                      <w:i/>
                    </w:rPr>
                  </m:ctrlPr>
                </m:dPr>
                <m:e>
                  <m:r>
                    <w:rPr>
                      <w:rFonts w:ascii="Cambria Math" w:hAnsi="Cambria Math"/>
                    </w:rPr>
                    <m:t>50+23,</m:t>
                  </m:r>
                  <m:acc>
                    <m:accPr>
                      <m:ctrlPr>
                        <w:rPr>
                          <w:rFonts w:ascii="Cambria Math" w:hAnsi="Cambria Math"/>
                          <w:i/>
                        </w:rPr>
                      </m:ctrlPr>
                    </m:accPr>
                    <m:e>
                      <m:r>
                        <w:rPr>
                          <w:rFonts w:ascii="Cambria Math" w:hAnsi="Cambria Math"/>
                        </w:rPr>
                        <m:t>3</m:t>
                      </m:r>
                    </m:e>
                  </m:acc>
                  <m:r>
                    <w:rPr>
                      <w:rFonts w:ascii="Cambria Math" w:hAnsi="Cambria Math"/>
                    </w:rPr>
                    <m:t>+53,</m:t>
                  </m:r>
                  <m:acc>
                    <m:accPr>
                      <m:ctrlPr>
                        <w:rPr>
                          <w:rFonts w:ascii="Cambria Math" w:hAnsi="Cambria Math"/>
                          <w:i/>
                        </w:rPr>
                      </m:ctrlPr>
                    </m:accPr>
                    <m:e>
                      <m:r>
                        <w:rPr>
                          <w:rFonts w:ascii="Cambria Math" w:hAnsi="Cambria Math"/>
                        </w:rPr>
                        <m:t>3</m:t>
                      </m:r>
                    </m:e>
                  </m:acc>
                </m:e>
              </m:d>
            </m:e>
          </m:d>
          <m:r>
            <w:rPr>
              <w:rFonts w:ascii="Cambria Math" w:hAnsi="Cambria Math"/>
            </w:rPr>
            <m:t>MWh=23,</m:t>
          </m:r>
          <m:acc>
            <m:accPr>
              <m:ctrlPr>
                <w:rPr>
                  <w:rFonts w:ascii="Cambria Math" w:hAnsi="Cambria Math"/>
                  <w:i/>
                </w:rPr>
              </m:ctrlPr>
            </m:accPr>
            <m:e>
              <m:r>
                <w:rPr>
                  <w:rFonts w:ascii="Cambria Math" w:hAnsi="Cambria Math"/>
                </w:rPr>
                <m:t>3</m:t>
              </m:r>
            </m:e>
          </m:acc>
          <m:r>
            <w:rPr>
              <w:rFonts w:ascii="Cambria Math" w:hAnsi="Cambria Math"/>
            </w:rPr>
            <m:t>MWh</m:t>
          </m:r>
        </m:oMath>
      </m:oMathPara>
    </w:p>
    <w:p w14:paraId="54CD8A4A" w14:textId="77777777" w:rsidR="00742320" w:rsidRPr="00725DA4" w:rsidRDefault="00742320" w:rsidP="000D6AB9">
      <w:pPr>
        <w:pStyle w:val="IEEEPrafo"/>
      </w:pPr>
    </w:p>
    <w:p w14:paraId="49AA214B" w14:textId="208590B4" w:rsidR="00742320" w:rsidRDefault="00742320" w:rsidP="000D6AB9">
      <w:pPr>
        <w:pStyle w:val="IEEEPrafo"/>
      </w:pPr>
      <w:r>
        <w:t>Cuando se cambia el per</w:t>
      </w:r>
      <w:r w:rsidR="00D65165">
        <w:t>í</w:t>
      </w:r>
      <w:r>
        <w:t>odo de 60 minutos a 15 minutos, el</w:t>
      </w:r>
      <w:r w:rsidR="00586088">
        <w:t xml:space="preserve"> área asociada al</w:t>
      </w:r>
      <w:r>
        <w:t xml:space="preserve"> valor de </w:t>
      </w:r>
      <m:oMath>
        <m:r>
          <w:rPr>
            <w:rFonts w:ascii="Cambria Math" w:hAnsi="Cambria Math"/>
          </w:rPr>
          <m:t>UR</m:t>
        </m:r>
      </m:oMath>
      <w:r>
        <w:t xml:space="preserve"> cambiará, tal como </w:t>
      </w:r>
      <w:r w:rsidR="00586088">
        <w:t xml:space="preserve">se puede </w:t>
      </w:r>
      <w:r>
        <w:t>observar en la</w:t>
      </w:r>
      <w:r w:rsidR="007D2615">
        <w:t xml:space="preserve"> </w:t>
      </w:r>
      <w:hyperlink w:anchor="Fig2" w:history="1">
        <w:r w:rsidR="007D2615" w:rsidRPr="00B85039">
          <w:rPr>
            <w:rStyle w:val="Hipervnculo"/>
            <w:color w:val="auto"/>
            <w:u w:val="none"/>
          </w:rPr>
          <w:t>Fig. 2</w:t>
        </w:r>
      </w:hyperlink>
      <w:r>
        <w:t>:</w:t>
      </w:r>
    </w:p>
    <w:p w14:paraId="5CA0BEA8" w14:textId="77777777" w:rsidR="007D2615" w:rsidRDefault="00742320" w:rsidP="007D2615">
      <w:pPr>
        <w:pStyle w:val="IEEEPrafo"/>
        <w:keepNext/>
        <w:jc w:val="center"/>
      </w:pPr>
      <w:bookmarkStart w:id="1" w:name="Fig2"/>
      <w:r>
        <w:rPr>
          <w:noProof/>
        </w:rPr>
        <w:drawing>
          <wp:inline distT="0" distB="0" distL="0" distR="0" wp14:anchorId="786E9EE0" wp14:editId="5AB1D2FD">
            <wp:extent cx="1702951" cy="225742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12611" cy="2270230"/>
                    </a:xfrm>
                    <a:prstGeom prst="rect">
                      <a:avLst/>
                    </a:prstGeom>
                    <a:noFill/>
                    <a:ln>
                      <a:noFill/>
                    </a:ln>
                  </pic:spPr>
                </pic:pic>
              </a:graphicData>
            </a:graphic>
          </wp:inline>
        </w:drawing>
      </w:r>
      <w:bookmarkEnd w:id="1"/>
    </w:p>
    <w:p w14:paraId="1ECC1FC7" w14:textId="49B9BF69" w:rsidR="00742320" w:rsidRDefault="007D2615" w:rsidP="007D2615">
      <w:pPr>
        <w:pStyle w:val="IEEEPrafo"/>
      </w:pPr>
      <w:r>
        <w:t xml:space="preserve">Fig.  </w:t>
      </w:r>
      <w:r>
        <w:fldChar w:fldCharType="begin"/>
      </w:r>
      <w:r>
        <w:instrText xml:space="preserve"> SEQ Fig._ \* ARABIC </w:instrText>
      </w:r>
      <w:r>
        <w:fldChar w:fldCharType="separate"/>
      </w:r>
      <w:r w:rsidR="00BA613F">
        <w:rPr>
          <w:noProof/>
        </w:rPr>
        <w:t>2</w:t>
      </w:r>
      <w:r>
        <w:fldChar w:fldCharType="end"/>
      </w:r>
      <w:r>
        <w:t xml:space="preserve">. </w:t>
      </w:r>
      <w:r w:rsidRPr="00420F2F">
        <w:t xml:space="preserve">Estimación de UR en un período de </w:t>
      </w:r>
      <w:r>
        <w:t>15</w:t>
      </w:r>
      <w:r w:rsidRPr="00420F2F">
        <w:t xml:space="preserve"> minutos. Dibujo propio.</w:t>
      </w:r>
    </w:p>
    <w:p w14:paraId="4C371717" w14:textId="77777777" w:rsidR="00742320" w:rsidRDefault="00742320" w:rsidP="000D6AB9">
      <w:pPr>
        <w:pStyle w:val="IEEEPrafo"/>
      </w:pPr>
    </w:p>
    <w:p w14:paraId="787DAFA9" w14:textId="4A6DD1CC" w:rsidR="00742320" w:rsidRDefault="00742320" w:rsidP="000D6AB9">
      <w:pPr>
        <w:pStyle w:val="IEEEPrafo"/>
      </w:pPr>
      <w:r>
        <w:t xml:space="preserve">Tal como se aprecia en la </w:t>
      </w:r>
      <w:hyperlink w:anchor="Fig2" w:history="1">
        <w:r w:rsidR="00586088" w:rsidRPr="00B85039">
          <w:rPr>
            <w:rStyle w:val="Hipervnculo"/>
            <w:color w:val="auto"/>
            <w:u w:val="none"/>
          </w:rPr>
          <w:t>Fig. 2</w:t>
        </w:r>
      </w:hyperlink>
      <w:r w:rsidRPr="00B85039">
        <w:t xml:space="preserve">, </w:t>
      </w:r>
      <w:r>
        <w:t>el primer cambio que se observ</w:t>
      </w:r>
      <w:r w:rsidR="00586088">
        <w:t>a</w:t>
      </w:r>
      <w:r>
        <w:t xml:space="preserve"> es que al ser el periodo cada 15 minutos, las unidades de </w:t>
      </w:r>
      <m:oMath>
        <m:r>
          <w:rPr>
            <w:rFonts w:ascii="Cambria Math" w:hAnsi="Cambria Math"/>
          </w:rPr>
          <m:t>UR</m:t>
        </m:r>
      </m:oMath>
      <w:r>
        <w:t xml:space="preserve"> variarán de </w:t>
      </w:r>
      <m:oMath>
        <m:r>
          <w:rPr>
            <w:rFonts w:ascii="Cambria Math" w:hAnsi="Cambria Math"/>
          </w:rPr>
          <m:t>MW/h</m:t>
        </m:r>
      </m:oMath>
      <w:r>
        <w:t xml:space="preserve"> a </w:t>
      </w:r>
      <m:oMath>
        <m:r>
          <w:rPr>
            <w:rFonts w:ascii="Cambria Math" w:hAnsi="Cambria Math"/>
          </w:rPr>
          <m:t>MW/15min</m:t>
        </m:r>
      </m:oMath>
      <w:r w:rsidR="00586088">
        <w:t>. E</w:t>
      </w:r>
      <w:r>
        <w:t>l segundo cambio notorio es que, al ser un periodo más reducido, la rampa podrá llegar solamente a</w:t>
      </w:r>
      <w:r w:rsidR="00586088">
        <w:t xml:space="preserve"> una altura de</w:t>
      </w:r>
      <w:r>
        <w:t xml:space="preserve"> </w:t>
      </w:r>
      <m:oMath>
        <m:r>
          <w:rPr>
            <w:rFonts w:ascii="Cambria Math" w:hAnsi="Cambria Math"/>
          </w:rPr>
          <m:t>102,5 MW</m:t>
        </m:r>
      </m:oMath>
      <w:r w:rsidR="00586088">
        <w:t>. P</w:t>
      </w:r>
      <w:r>
        <w:t xml:space="preserve">or </w:t>
      </w:r>
      <w:r w:rsidR="00586088">
        <w:t xml:space="preserve">lo </w:t>
      </w:r>
      <w:r>
        <w:t xml:space="preserve">tanto, el valor del </w:t>
      </w:r>
      <m:oMath>
        <m:r>
          <w:rPr>
            <w:rFonts w:ascii="Cambria Math" w:hAnsi="Cambria Math"/>
          </w:rPr>
          <m:t>UR</m:t>
        </m:r>
      </m:oMath>
      <w:r>
        <w:t xml:space="preserve"> será:</w:t>
      </w:r>
    </w:p>
    <w:p w14:paraId="08C8CC3A" w14:textId="77777777" w:rsidR="00742320" w:rsidRDefault="00742320" w:rsidP="000D6AB9">
      <w:pPr>
        <w:pStyle w:val="IEEEPrafo"/>
      </w:pPr>
    </w:p>
    <w:p w14:paraId="1A4F7ADB" w14:textId="2D5100D0" w:rsidR="00742320" w:rsidRPr="003848C8" w:rsidRDefault="00742320" w:rsidP="000D6AB9">
      <w:pPr>
        <w:pStyle w:val="IEEEPrafo"/>
      </w:pPr>
      <m:oMathPara>
        <m:oMath>
          <m:r>
            <w:rPr>
              <w:rFonts w:ascii="Cambria Math" w:hAnsi="Cambria Math"/>
            </w:rPr>
            <m:t>UR=</m:t>
          </m:r>
          <m:d>
            <m:dPr>
              <m:begChr m:val="["/>
              <m:endChr m:val="]"/>
              <m:ctrlPr>
                <w:rPr>
                  <w:rFonts w:ascii="Cambria Math" w:hAnsi="Cambria Math"/>
                  <w:i/>
                </w:rPr>
              </m:ctrlPr>
            </m:dPr>
            <m:e>
              <m:r>
                <w:rPr>
                  <w:rFonts w:ascii="Cambria Math" w:hAnsi="Cambria Math"/>
                </w:rPr>
                <m:t>102,5-</m:t>
              </m:r>
              <m:d>
                <m:dPr>
                  <m:ctrlPr>
                    <w:rPr>
                      <w:rFonts w:ascii="Cambria Math" w:hAnsi="Cambria Math"/>
                      <w:i/>
                    </w:rPr>
                  </m:ctrlPr>
                </m:dPr>
                <m:e>
                  <m:r>
                    <w:rPr>
                      <w:rFonts w:ascii="Cambria Math" w:hAnsi="Cambria Math"/>
                    </w:rPr>
                    <m:t>50+26,25</m:t>
                  </m:r>
                </m:e>
              </m:d>
            </m:e>
          </m:d>
          <m:r>
            <w:rPr>
              <w:rFonts w:ascii="Cambria Math" w:hAnsi="Cambria Math"/>
            </w:rPr>
            <m:t xml:space="preserve">MW/15min </m:t>
          </m:r>
        </m:oMath>
      </m:oMathPara>
    </w:p>
    <w:p w14:paraId="7628D65B" w14:textId="77777777" w:rsidR="00742320" w:rsidRPr="003848C8" w:rsidRDefault="00742320" w:rsidP="000D6AB9">
      <w:pPr>
        <w:pStyle w:val="IEEEPrafo"/>
      </w:pPr>
      <m:oMathPara>
        <m:oMath>
          <m:r>
            <w:rPr>
              <w:rFonts w:ascii="Cambria Math" w:hAnsi="Cambria Math"/>
            </w:rPr>
            <m:t>UR=26,25MW/15min</m:t>
          </m:r>
        </m:oMath>
      </m:oMathPara>
    </w:p>
    <w:p w14:paraId="17B4671C" w14:textId="77777777" w:rsidR="00742320" w:rsidRDefault="00742320" w:rsidP="000D6AB9">
      <w:pPr>
        <w:pStyle w:val="IEEEPrafo"/>
      </w:pPr>
    </w:p>
    <w:p w14:paraId="00057511" w14:textId="4D40DA8E" w:rsidR="00513ECE" w:rsidRDefault="00742320" w:rsidP="007133FB">
      <w:pPr>
        <w:pStyle w:val="IEEEPrafo"/>
      </w:pPr>
      <w:r>
        <w:t xml:space="preserve">Para solucionar este inconveniente, es necesario </w:t>
      </w:r>
      <w:r w:rsidR="00513ECE">
        <w:t>cambiar la modelación matemática actual, la cual está basada en valores</w:t>
      </w:r>
      <w:r w:rsidR="000467FF">
        <w:t xml:space="preserve"> de </w:t>
      </w:r>
      <m:oMath>
        <m:r>
          <w:rPr>
            <w:rFonts w:ascii="Cambria Math" w:hAnsi="Cambria Math"/>
          </w:rPr>
          <m:t>UR</m:t>
        </m:r>
      </m:oMath>
      <w:r w:rsidR="0072130B">
        <w:t xml:space="preserve"> y </w:t>
      </w:r>
      <m:oMath>
        <m:r>
          <w:rPr>
            <w:rFonts w:ascii="Cambria Math" w:hAnsi="Cambria Math"/>
          </w:rPr>
          <m:t>DR</m:t>
        </m:r>
      </m:oMath>
      <w:r w:rsidR="00513ECE">
        <w:t xml:space="preserve"> horarios.</w:t>
      </w:r>
      <w:r>
        <w:t xml:space="preserve"> </w:t>
      </w:r>
      <w:r w:rsidR="00513ECE">
        <w:t>Por lo tanto</w:t>
      </w:r>
      <w:r>
        <w:t xml:space="preserve">, se opta por modelar los cambios máximos en la generación en función de la velocidad de toma </w:t>
      </w:r>
      <w:r>
        <w:lastRenderedPageBreak/>
        <w:t>de carga y descarga. Esta velocidad define el cambio máximo de potencia en un recurso de generación por unidad de tiempo (minuto) tanto en incremento como en disminución</w:t>
      </w:r>
      <w:r w:rsidR="00BA575A">
        <w:t>.</w:t>
      </w:r>
      <w:r>
        <w:t xml:space="preserve"> </w:t>
      </w:r>
      <w:r w:rsidR="000E1AC5">
        <w:t>Partiendo de esa base, es preferible dividir cada período en subperíodos, de forma que se pueda tener un mayor control del valor de potencia del recurso térmico  durante el tiempo</w:t>
      </w:r>
      <w:r w:rsidR="00BA575A">
        <w:t xml:space="preserve"> </w:t>
      </w:r>
      <w:r w:rsidR="00BA575A">
        <w:fldChar w:fldCharType="begin" w:fldLock="1"/>
      </w:r>
      <w:r w:rsidR="00BA575A">
        <w:instrText>ADDIN CSL_CITATION {"citationItems":[{"id":"ITEM-1","itemData":{"author":[{"dropping-particle":"","family":"Carreno","given":"Oscar Mauricio","non-dropping-particle":"","parse-names":false,"suffix":""}],"id":"ITEM-1","issued":{"date-parts":[["0"]]},"page":"1-11","title":"Modelo Matemático para las tasas de toma de carga y descarga de los recursos de generación.","type":"article-journal"},"uris":["http://www.mendeley.com/documents/?uuid=224be55b-925e-4a19-aaf0-7c99f95ee6f1"]}],"mendeley":{"formattedCitation":"[12]","plainTextFormattedCitation":"[12]","previouslyFormattedCitation":"[12]"},"properties":{"noteIndex":0},"schema":"https://github.com/citation-style-language/schema/raw/master/csl-citation.json"}</w:instrText>
      </w:r>
      <w:r w:rsidR="00BA575A">
        <w:fldChar w:fldCharType="separate"/>
      </w:r>
      <w:r w:rsidR="00BA575A" w:rsidRPr="00586088">
        <w:rPr>
          <w:noProof/>
        </w:rPr>
        <w:t>[12]</w:t>
      </w:r>
      <w:r w:rsidR="00BA575A">
        <w:fldChar w:fldCharType="end"/>
      </w:r>
      <w:r w:rsidR="00BA575A">
        <w:t>.</w:t>
      </w:r>
      <w:r w:rsidR="000E1AC5">
        <w:t xml:space="preserve"> </w:t>
      </w:r>
    </w:p>
    <w:p w14:paraId="34B5146B" w14:textId="77777777" w:rsidR="00BA575A" w:rsidRDefault="00BA575A" w:rsidP="007133FB">
      <w:pPr>
        <w:pStyle w:val="IEEEPrafo"/>
      </w:pPr>
      <w:bookmarkStart w:id="2" w:name="Fig3"/>
      <w:r w:rsidRPr="00BA575A">
        <w:rPr>
          <w:noProof/>
        </w:rPr>
        <w:drawing>
          <wp:inline distT="0" distB="0" distL="0" distR="0" wp14:anchorId="3978BB4F" wp14:editId="1EC5A45B">
            <wp:extent cx="3201670" cy="171704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01670" cy="1717040"/>
                    </a:xfrm>
                    <a:prstGeom prst="rect">
                      <a:avLst/>
                    </a:prstGeom>
                  </pic:spPr>
                </pic:pic>
              </a:graphicData>
            </a:graphic>
          </wp:inline>
        </w:drawing>
      </w:r>
      <w:bookmarkEnd w:id="2"/>
    </w:p>
    <w:p w14:paraId="06AE5B22" w14:textId="509A3F3B" w:rsidR="00513ECE" w:rsidRPr="007133FB" w:rsidRDefault="00BA575A" w:rsidP="007133FB">
      <w:pPr>
        <w:pStyle w:val="IEEEPrafo"/>
        <w:rPr>
          <w:iCs w:val="0"/>
        </w:rPr>
      </w:pPr>
      <w:r>
        <w:t xml:space="preserve">Fig.  </w:t>
      </w:r>
      <w:r>
        <w:fldChar w:fldCharType="begin"/>
      </w:r>
      <w:r>
        <w:instrText xml:space="preserve"> SEQ Fig._ \* ARABIC </w:instrText>
      </w:r>
      <w:r>
        <w:fldChar w:fldCharType="separate"/>
      </w:r>
      <w:r w:rsidR="00BA613F">
        <w:rPr>
          <w:noProof/>
        </w:rPr>
        <w:t>3</w:t>
      </w:r>
      <w:r>
        <w:fldChar w:fldCharType="end"/>
      </w:r>
      <w:r>
        <w:t>.</w:t>
      </w:r>
      <w:r>
        <w:rPr>
          <w:i/>
        </w:rPr>
        <w:t xml:space="preserve"> </w:t>
      </w:r>
      <w:r w:rsidR="00377F41">
        <w:rPr>
          <w:iCs w:val="0"/>
        </w:rPr>
        <w:t>Ejemplo de d</w:t>
      </w:r>
      <w:r w:rsidRPr="007133FB">
        <w:rPr>
          <w:iCs w:val="0"/>
        </w:rPr>
        <w:t>ivisión del período</w:t>
      </w:r>
      <w:r w:rsidR="007133FB" w:rsidRPr="007133FB">
        <w:rPr>
          <w:iCs w:val="0"/>
        </w:rPr>
        <w:t xml:space="preserve"> horario</w:t>
      </w:r>
      <w:r w:rsidRPr="007133FB">
        <w:rPr>
          <w:iCs w:val="0"/>
        </w:rPr>
        <w:t xml:space="preserve"> </w:t>
      </w:r>
      <w:r w:rsidRPr="00377F41">
        <w:rPr>
          <w:i/>
        </w:rPr>
        <w:t>t</w:t>
      </w:r>
      <w:r w:rsidRPr="007133FB">
        <w:rPr>
          <w:iCs w:val="0"/>
        </w:rPr>
        <w:t xml:space="preserve"> en subperíodos</w:t>
      </w:r>
      <w:r w:rsidR="007133FB" w:rsidRPr="007133FB">
        <w:rPr>
          <w:iCs w:val="0"/>
        </w:rPr>
        <w:t xml:space="preserve"> de 1 minuto</w:t>
      </w:r>
      <w:r w:rsidRPr="007133FB">
        <w:rPr>
          <w:iCs w:val="0"/>
        </w:rPr>
        <w:t xml:space="preserve"> </w:t>
      </w:r>
      <w:r w:rsidRPr="007133FB">
        <w:rPr>
          <w:iCs w:val="0"/>
        </w:rPr>
        <w:fldChar w:fldCharType="begin" w:fldLock="1"/>
      </w:r>
      <w:r w:rsidR="000151A9" w:rsidRPr="007133FB">
        <w:rPr>
          <w:iCs w:val="0"/>
        </w:rPr>
        <w:instrText>ADDIN CSL_CITATION {"citationItems":[{"id":"ITEM-1","itemData":{"author":[{"dropping-particle":"","family":"Carreno","given":"Oscar Mauricio","non-dropping-particle":"","parse-names":false,"suffix":""}],"id":"ITEM-1","issued":{"date-parts":[["0"]]},"page":"1-11","title":"Modelo Matemático para las tasas de toma de carga y descarga de los recursos de generación.","type":"article-journal"},"uris":["http://www.mendeley.com/documents/?uuid=224be55b-925e-4a19-aaf0-7c99f95ee6f1"]}],"mendeley":{"formattedCitation":"[12]","plainTextFormattedCitation":"[12]","previouslyFormattedCitation":"[12]"},"properties":{"noteIndex":0},"schema":"https://github.com/citation-style-language/schema/raw/master/csl-citation.json"}</w:instrText>
      </w:r>
      <w:r w:rsidRPr="007133FB">
        <w:rPr>
          <w:iCs w:val="0"/>
        </w:rPr>
        <w:fldChar w:fldCharType="separate"/>
      </w:r>
      <w:r w:rsidRPr="007133FB">
        <w:rPr>
          <w:iCs w:val="0"/>
          <w:noProof/>
        </w:rPr>
        <w:t>[12]</w:t>
      </w:r>
      <w:r w:rsidRPr="007133FB">
        <w:rPr>
          <w:iCs w:val="0"/>
        </w:rPr>
        <w:fldChar w:fldCharType="end"/>
      </w:r>
      <w:r w:rsidRPr="007133FB">
        <w:rPr>
          <w:iCs w:val="0"/>
        </w:rPr>
        <w:t>.</w:t>
      </w:r>
    </w:p>
    <w:p w14:paraId="40D5D745" w14:textId="66B04948" w:rsidR="00513ECE" w:rsidRDefault="00513ECE" w:rsidP="007133FB">
      <w:pPr>
        <w:pStyle w:val="IEEEPrafo"/>
      </w:pPr>
    </w:p>
    <w:p w14:paraId="5463ECA7" w14:textId="77777777" w:rsidR="00401C40" w:rsidRDefault="00BA575A" w:rsidP="007133FB">
      <w:pPr>
        <w:pStyle w:val="IEEEPrafo"/>
        <w:rPr>
          <w:rFonts w:eastAsiaTheme="minorEastAsia"/>
        </w:rPr>
      </w:pPr>
      <w:r w:rsidRPr="00B85039">
        <w:t xml:space="preserve">En la </w:t>
      </w:r>
      <w:hyperlink w:anchor="Fig3" w:history="1">
        <w:r w:rsidR="00B85039" w:rsidRPr="00B85039">
          <w:rPr>
            <w:rStyle w:val="Hipervnculo"/>
            <w:color w:val="auto"/>
            <w:u w:val="none"/>
          </w:rPr>
          <w:t>Fig. 3</w:t>
        </w:r>
      </w:hyperlink>
      <w:r w:rsidR="00B85039">
        <w:t xml:space="preserve"> </w:t>
      </w:r>
      <w:r w:rsidRPr="00B85039">
        <w:t>se aprecia que, para cada subperíodo k</w:t>
      </w:r>
      <w:r w:rsidR="00CD1256" w:rsidRPr="00B85039">
        <w:t xml:space="preserve"> </w:t>
      </w:r>
      <m:oMath>
        <m:d>
          <m:dPr>
            <m:ctrlPr>
              <w:rPr>
                <w:rFonts w:ascii="Cambria Math" w:hAnsi="Cambria Math"/>
              </w:rPr>
            </m:ctrlPr>
          </m:dPr>
          <m:e>
            <m:r>
              <m:rPr>
                <m:sty m:val="p"/>
              </m:rPr>
              <w:rPr>
                <w:rFonts w:ascii="Cambria Math" w:hAnsi="Cambria Math"/>
              </w:rPr>
              <m:t>∀k</m:t>
            </m:r>
          </m:e>
        </m:d>
      </m:oMath>
      <w:r w:rsidRPr="00B85039">
        <w:t>, hay un valor de potencia asociado</w:t>
      </w:r>
      <w:r w:rsidR="007108C7" w:rsidRPr="00B85039">
        <w:t xml:space="preserve"> </w:t>
      </w:r>
      <m:oMath>
        <m:sSub>
          <m:sSubPr>
            <m:ctrlPr>
              <w:rPr>
                <w:rFonts w:ascii="Cambria Math" w:hAnsi="Cambria Math"/>
              </w:rPr>
            </m:ctrlPr>
          </m:sSubPr>
          <m:e>
            <m:r>
              <m:rPr>
                <m:sty m:val="p"/>
              </m:rPr>
              <w:rPr>
                <w:rFonts w:ascii="Cambria Math" w:hAnsi="Cambria Math"/>
              </w:rPr>
              <m:t>P</m:t>
            </m:r>
          </m:e>
          <m:sub>
            <m:sSub>
              <m:sSubPr>
                <m:ctrlPr>
                  <w:rPr>
                    <w:rFonts w:ascii="Cambria Math" w:hAnsi="Cambria Math"/>
                  </w:rPr>
                </m:ctrlPr>
              </m:sSubPr>
              <m:e>
                <m:r>
                  <m:rPr>
                    <m:sty m:val="p"/>
                  </m:rPr>
                  <w:rPr>
                    <w:rFonts w:ascii="Cambria Math" w:hAnsi="Cambria Math"/>
                  </w:rPr>
                  <m:t>g</m:t>
                </m:r>
              </m:e>
              <m:sub>
                <m:r>
                  <m:rPr>
                    <m:sty m:val="p"/>
                  </m:rPr>
                  <w:rPr>
                    <w:rFonts w:ascii="Cambria Math" w:hAnsi="Cambria Math"/>
                  </w:rPr>
                  <m:t>i,t,k</m:t>
                </m:r>
              </m:sub>
            </m:sSub>
          </m:sub>
        </m:sSub>
      </m:oMath>
      <w:r w:rsidR="007108C7" w:rsidRPr="00B85039">
        <w:rPr>
          <w:rFonts w:eastAsiaTheme="minorEastAsia"/>
        </w:rPr>
        <w:t xml:space="preserve"> (altura de la curva). Entonces, para modelar los</w:t>
      </w:r>
      <w:r w:rsidR="000151A9" w:rsidRPr="00B85039">
        <w:rPr>
          <w:rFonts w:eastAsiaTheme="minorEastAsia"/>
        </w:rPr>
        <w:t xml:space="preserve"> cambios en la generación durante esos subperíodos, es necesario definir que tales cambios no pueden ser mayores que la velocidad de toma de carga y descarga del recurso térmico </w:t>
      </w:r>
      <w:r w:rsidR="000151A9" w:rsidRPr="00B85039">
        <w:rPr>
          <w:rFonts w:eastAsiaTheme="minorEastAsia"/>
        </w:rPr>
        <w:fldChar w:fldCharType="begin" w:fldLock="1"/>
      </w:r>
      <w:r w:rsidR="00496F5C" w:rsidRPr="00B85039">
        <w:rPr>
          <w:rFonts w:eastAsiaTheme="minorEastAsia"/>
        </w:rPr>
        <w:instrText>ADDIN CSL_CITATION {"citationItems":[{"id":"ITEM-1","itemData":{"author":[{"dropping-particle":"","family":"Carreno","given":"Oscar Mauricio","non-dropping-particle":"","parse-names":false,"suffix":""}],"id":"ITEM-1","issued":{"date-parts":[["0"]]},"page":"1-11","title":"Modelo Matemático para las tasas de toma de carga y descarga de los recursos de generación.","type":"article-journal"},"uris":["http://www.mendeley.com/documents/?uuid=224be55b-925e-4a19-aaf0-7c99f95ee6f1"]}],"mendeley":{"formattedCitation":"[12]","plainTextFormattedCitation":"[12]","previouslyFormattedCitation":"[12]"},"properties":{"noteIndex":0},"schema":"https://github.com/citation-style-language/schema/raw/master/csl-citation.json"}</w:instrText>
      </w:r>
      <w:r w:rsidR="000151A9" w:rsidRPr="00B85039">
        <w:rPr>
          <w:rFonts w:eastAsiaTheme="minorEastAsia"/>
        </w:rPr>
        <w:fldChar w:fldCharType="separate"/>
      </w:r>
      <w:r w:rsidR="000151A9" w:rsidRPr="00B85039">
        <w:rPr>
          <w:rFonts w:eastAsiaTheme="minorEastAsia"/>
          <w:noProof/>
        </w:rPr>
        <w:t>[12]</w:t>
      </w:r>
      <w:r w:rsidR="000151A9" w:rsidRPr="00B85039">
        <w:rPr>
          <w:rFonts w:eastAsiaTheme="minorEastAsia"/>
        </w:rPr>
        <w:fldChar w:fldCharType="end"/>
      </w:r>
      <w:r w:rsidR="00401C40">
        <w:rPr>
          <w:rFonts w:eastAsiaTheme="minorEastAsia"/>
        </w:rPr>
        <w:t xml:space="preserve">. </w:t>
      </w:r>
    </w:p>
    <w:p w14:paraId="13F8397C" w14:textId="419D000E" w:rsidR="00513ECE" w:rsidRPr="00B85039" w:rsidRDefault="00401C40" w:rsidP="007133FB">
      <w:pPr>
        <w:pStyle w:val="IEEEPrafo"/>
      </w:pPr>
      <w:r>
        <w:rPr>
          <w:rFonts w:eastAsiaTheme="minorEastAsia"/>
        </w:rPr>
        <w:t xml:space="preserve">Sea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f</m:t>
            </m:r>
          </m:sub>
        </m:sSub>
      </m:oMath>
      <w:r>
        <w:rPr>
          <w:rFonts w:eastAsiaTheme="minorEastAsia"/>
        </w:rPr>
        <w:t xml:space="preserve"> el último subperíodo de tiempo:</w:t>
      </w:r>
    </w:p>
    <w:p w14:paraId="0FB5000A" w14:textId="1EFE349E" w:rsidR="00513ECE" w:rsidRPr="00B85039" w:rsidRDefault="00513ECE" w:rsidP="007133FB">
      <w:pPr>
        <w:pStyle w:val="IEEEPrafo"/>
      </w:pPr>
    </w:p>
    <w:p w14:paraId="4C9424F7" w14:textId="03E81B81" w:rsidR="00C77F5B" w:rsidRPr="00401C40" w:rsidRDefault="000352A9" w:rsidP="007133FB">
      <w:pPr>
        <w:pStyle w:val="IEEEPrafo"/>
        <w:rPr>
          <w:rFonts w:eastAsiaTheme="minorEastAsia"/>
          <w:sz w:val="22"/>
          <w:szCs w:val="22"/>
        </w:rPr>
      </w:pPr>
      <m:oMathPara>
        <m:oMath>
          <m:eqArr>
            <m:eqArrPr>
              <m:maxDist m:val="1"/>
              <m:ctrlPr>
                <w:rPr>
                  <w:rFonts w:ascii="Cambria Math" w:eastAsiaTheme="minorEastAsia" w:hAnsi="Cambria Math"/>
                  <w:i/>
                  <w:sz w:val="22"/>
                  <w:szCs w:val="22"/>
                </w:rPr>
              </m:ctrlPr>
            </m:eqArrPr>
            <m:e>
              <m:sSub>
                <m:sSubPr>
                  <m:ctrlPr>
                    <w:rPr>
                      <w:rFonts w:ascii="Cambria Math" w:eastAsiaTheme="minorEastAsia" w:hAnsi="Cambria Math"/>
                      <w:i/>
                      <w:sz w:val="22"/>
                      <w:szCs w:val="22"/>
                    </w:rPr>
                  </m:ctrlPr>
                </m:sSubPr>
                <m:e>
                  <m:r>
                    <w:rPr>
                      <w:rFonts w:ascii="Cambria Math" w:eastAsiaTheme="minorEastAsia" w:hAnsi="Cambria Math"/>
                      <w:sz w:val="22"/>
                      <w:szCs w:val="22"/>
                    </w:rPr>
                    <m:t>P</m:t>
                  </m:r>
                </m:e>
                <m:sub>
                  <m:sSub>
                    <m:sSubPr>
                      <m:ctrlPr>
                        <w:rPr>
                          <w:rFonts w:ascii="Cambria Math" w:eastAsiaTheme="minorEastAsia" w:hAnsi="Cambria Math"/>
                          <w:i/>
                          <w:sz w:val="22"/>
                          <w:szCs w:val="22"/>
                        </w:rPr>
                      </m:ctrlPr>
                    </m:sSubPr>
                    <m:e>
                      <m:r>
                        <w:rPr>
                          <w:rFonts w:ascii="Cambria Math" w:eastAsiaTheme="minorEastAsia" w:hAnsi="Cambria Math"/>
                          <w:sz w:val="22"/>
                          <w:szCs w:val="22"/>
                        </w:rPr>
                        <m:t>g</m:t>
                      </m:r>
                    </m:e>
                    <m:sub>
                      <m:r>
                        <w:rPr>
                          <w:rFonts w:ascii="Cambria Math" w:eastAsiaTheme="minorEastAsia" w:hAnsi="Cambria Math"/>
                          <w:sz w:val="22"/>
                          <w:szCs w:val="22"/>
                        </w:rPr>
                        <m:t>i,t,k</m:t>
                      </m:r>
                    </m:sub>
                  </m:sSub>
                </m:sub>
              </m:sSub>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P</m:t>
                  </m:r>
                </m:e>
                <m:sub>
                  <m:sSub>
                    <m:sSubPr>
                      <m:ctrlPr>
                        <w:rPr>
                          <w:rFonts w:ascii="Cambria Math" w:eastAsiaTheme="minorEastAsia" w:hAnsi="Cambria Math"/>
                          <w:i/>
                          <w:sz w:val="22"/>
                          <w:szCs w:val="22"/>
                        </w:rPr>
                      </m:ctrlPr>
                    </m:sSubPr>
                    <m:e>
                      <m:r>
                        <w:rPr>
                          <w:rFonts w:ascii="Cambria Math" w:eastAsiaTheme="minorEastAsia" w:hAnsi="Cambria Math"/>
                          <w:sz w:val="22"/>
                          <w:szCs w:val="22"/>
                        </w:rPr>
                        <m:t>g</m:t>
                      </m:r>
                    </m:e>
                    <m:sub>
                      <m:r>
                        <w:rPr>
                          <w:rFonts w:ascii="Cambria Math" w:eastAsiaTheme="minorEastAsia" w:hAnsi="Cambria Math"/>
                          <w:sz w:val="22"/>
                          <w:szCs w:val="22"/>
                        </w:rPr>
                        <m:t>i,t,k-1</m:t>
                      </m:r>
                    </m:sub>
                  </m:sSub>
                </m:sub>
              </m:sSub>
              <m:r>
                <w:rPr>
                  <w:rFonts w:ascii="Cambria Math" w:eastAsiaTheme="minorEastAsia" w:hAnsi="Cambria Math"/>
                  <w:sz w:val="22"/>
                  <w:szCs w:val="22"/>
                </w:rPr>
                <m:t xml:space="preserve">≤VTCi ; </m:t>
              </m:r>
              <m:r>
                <w:rPr>
                  <w:rFonts w:ascii="Cambria Math" w:eastAsiaTheme="minorEastAsia" w:hAnsi="Cambria Math" w:cs="Cambria Math"/>
                  <w:sz w:val="22"/>
                  <w:szCs w:val="22"/>
                </w:rPr>
                <m:t>∀</m:t>
              </m:r>
              <m:r>
                <w:rPr>
                  <w:rFonts w:ascii="Cambria Math" w:eastAsiaTheme="minorEastAsia" w:hAnsi="Cambria Math"/>
                  <w:sz w:val="22"/>
                  <w:szCs w:val="22"/>
                </w:rPr>
                <m:t xml:space="preserve">i, </m:t>
              </m:r>
              <m:r>
                <w:rPr>
                  <w:rFonts w:ascii="Cambria Math" w:eastAsiaTheme="minorEastAsia" w:hAnsi="Cambria Math" w:cs="Cambria Math"/>
                  <w:sz w:val="22"/>
                  <w:szCs w:val="22"/>
                </w:rPr>
                <m:t>∀</m:t>
              </m:r>
              <m:r>
                <w:rPr>
                  <w:rFonts w:ascii="Cambria Math" w:eastAsiaTheme="minorEastAsia" w:hAnsi="Cambria Math"/>
                  <w:sz w:val="22"/>
                  <w:szCs w:val="22"/>
                </w:rPr>
                <m:t>t,</m:t>
              </m:r>
              <m:r>
                <w:rPr>
                  <w:rFonts w:ascii="Cambria Math" w:eastAsiaTheme="minorEastAsia" w:hAnsi="Cambria Math" w:cs="Cambria Math"/>
                  <w:sz w:val="22"/>
                  <w:szCs w:val="22"/>
                </w:rPr>
                <m:t>∀</m:t>
              </m:r>
              <m:r>
                <w:rPr>
                  <w:rFonts w:ascii="Cambria Math" w:eastAsiaTheme="minorEastAsia" w:hAnsi="Cambria Math"/>
                  <w:sz w:val="22"/>
                  <w:szCs w:val="22"/>
                </w:rPr>
                <m:t>k #</m:t>
              </m:r>
              <m:d>
                <m:dPr>
                  <m:ctrlPr>
                    <w:rPr>
                      <w:rFonts w:ascii="Cambria Math" w:eastAsiaTheme="minorEastAsia" w:hAnsi="Cambria Math"/>
                      <w:i/>
                      <w:sz w:val="22"/>
                      <w:szCs w:val="22"/>
                    </w:rPr>
                  </m:ctrlPr>
                </m:dPr>
                <m:e>
                  <m:r>
                    <w:rPr>
                      <w:rFonts w:ascii="Cambria Math" w:eastAsiaTheme="minorEastAsia" w:hAnsi="Cambria Math"/>
                      <w:sz w:val="22"/>
                      <w:szCs w:val="22"/>
                    </w:rPr>
                    <m:t>8</m:t>
                  </m:r>
                </m:e>
              </m:d>
            </m:e>
          </m:eqArr>
        </m:oMath>
      </m:oMathPara>
    </w:p>
    <w:p w14:paraId="7A73CC2C" w14:textId="476CA98C" w:rsidR="00401C40" w:rsidRPr="00401C40" w:rsidRDefault="000352A9" w:rsidP="007133FB">
      <w:pPr>
        <w:pStyle w:val="IEEEPrafo"/>
        <w:rPr>
          <w:rFonts w:eastAsiaTheme="minorEastAsia"/>
          <w:sz w:val="22"/>
          <w:szCs w:val="22"/>
        </w:rPr>
      </w:pPr>
      <m:oMathPara>
        <m:oMath>
          <m:eqArr>
            <m:eqArrPr>
              <m:maxDist m:val="1"/>
              <m:ctrlPr>
                <w:rPr>
                  <w:rFonts w:ascii="Cambria Math" w:eastAsiaTheme="minorEastAsia" w:hAnsi="Cambria Math"/>
                  <w:i/>
                  <w:sz w:val="22"/>
                  <w:szCs w:val="22"/>
                </w:rPr>
              </m:ctrlPr>
            </m:eqArrPr>
            <m:e>
              <m:sSub>
                <m:sSubPr>
                  <m:ctrlPr>
                    <w:rPr>
                      <w:rFonts w:ascii="Cambria Math" w:eastAsiaTheme="minorEastAsia" w:hAnsi="Cambria Math"/>
                      <w:i/>
                      <w:sz w:val="22"/>
                      <w:szCs w:val="22"/>
                    </w:rPr>
                  </m:ctrlPr>
                </m:sSubPr>
                <m:e>
                  <m:r>
                    <w:rPr>
                      <w:rFonts w:ascii="Cambria Math" w:eastAsiaTheme="minorEastAsia" w:hAnsi="Cambria Math"/>
                      <w:sz w:val="22"/>
                      <w:szCs w:val="22"/>
                    </w:rPr>
                    <m:t>P</m:t>
                  </m:r>
                </m:e>
                <m:sub>
                  <m:sSub>
                    <m:sSubPr>
                      <m:ctrlPr>
                        <w:rPr>
                          <w:rFonts w:ascii="Cambria Math" w:eastAsiaTheme="minorEastAsia" w:hAnsi="Cambria Math"/>
                          <w:i/>
                          <w:sz w:val="22"/>
                          <w:szCs w:val="22"/>
                        </w:rPr>
                      </m:ctrlPr>
                    </m:sSubPr>
                    <m:e>
                      <m:r>
                        <w:rPr>
                          <w:rFonts w:ascii="Cambria Math" w:eastAsiaTheme="minorEastAsia" w:hAnsi="Cambria Math"/>
                          <w:sz w:val="22"/>
                          <w:szCs w:val="22"/>
                        </w:rPr>
                        <m:t>g</m:t>
                      </m:r>
                    </m:e>
                    <m:sub>
                      <m:r>
                        <w:rPr>
                          <w:rFonts w:ascii="Cambria Math" w:eastAsiaTheme="minorEastAsia" w:hAnsi="Cambria Math"/>
                          <w:sz w:val="22"/>
                          <w:szCs w:val="22"/>
                        </w:rPr>
                        <m:t>i,t,1</m:t>
                      </m:r>
                    </m:sub>
                  </m:sSub>
                </m:sub>
              </m:sSub>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P</m:t>
                  </m:r>
                </m:e>
                <m:sub>
                  <m:sSub>
                    <m:sSubPr>
                      <m:ctrlPr>
                        <w:rPr>
                          <w:rFonts w:ascii="Cambria Math" w:eastAsiaTheme="minorEastAsia" w:hAnsi="Cambria Math"/>
                          <w:i/>
                          <w:sz w:val="22"/>
                          <w:szCs w:val="22"/>
                        </w:rPr>
                      </m:ctrlPr>
                    </m:sSubPr>
                    <m:e>
                      <m:r>
                        <w:rPr>
                          <w:rFonts w:ascii="Cambria Math" w:eastAsiaTheme="minorEastAsia" w:hAnsi="Cambria Math"/>
                          <w:sz w:val="22"/>
                          <w:szCs w:val="22"/>
                        </w:rPr>
                        <m:t>g</m:t>
                      </m:r>
                    </m:e>
                    <m:sub>
                      <m:r>
                        <w:rPr>
                          <w:rFonts w:ascii="Cambria Math" w:eastAsiaTheme="minorEastAsia" w:hAnsi="Cambria Math"/>
                          <w:sz w:val="22"/>
                          <w:szCs w:val="22"/>
                        </w:rPr>
                        <m:t>i,t-1,</m:t>
                      </m:r>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f</m:t>
                          </m:r>
                        </m:sub>
                      </m:sSub>
                    </m:sub>
                  </m:sSub>
                </m:sub>
              </m:sSub>
              <m:r>
                <w:rPr>
                  <w:rFonts w:ascii="Cambria Math" w:eastAsiaTheme="minorEastAsia" w:hAnsi="Cambria Math"/>
                  <w:sz w:val="22"/>
                  <w:szCs w:val="22"/>
                </w:rPr>
                <m:t>≤VT</m:t>
              </m:r>
              <m:sSub>
                <m:sSubPr>
                  <m:ctrlPr>
                    <w:rPr>
                      <w:rFonts w:ascii="Cambria Math" w:eastAsiaTheme="minorEastAsia" w:hAnsi="Cambria Math"/>
                      <w:i/>
                      <w:sz w:val="22"/>
                      <w:szCs w:val="22"/>
                    </w:rPr>
                  </m:ctrlPr>
                </m:sSubPr>
                <m:e>
                  <m:r>
                    <w:rPr>
                      <w:rFonts w:ascii="Cambria Math" w:eastAsiaTheme="minorEastAsia" w:hAnsi="Cambria Math"/>
                      <w:sz w:val="22"/>
                      <w:szCs w:val="22"/>
                    </w:rPr>
                    <m:t>C</m:t>
                  </m:r>
                </m:e>
                <m:sub>
                  <m:r>
                    <w:rPr>
                      <w:rFonts w:ascii="Cambria Math" w:eastAsiaTheme="minorEastAsia" w:hAnsi="Cambria Math"/>
                      <w:sz w:val="22"/>
                      <w:szCs w:val="22"/>
                    </w:rPr>
                    <m:t>i</m:t>
                  </m:r>
                </m:sub>
              </m:sSub>
              <m:r>
                <w:rPr>
                  <w:rFonts w:ascii="Cambria Math" w:eastAsiaTheme="minorEastAsia" w:hAnsi="Cambria Math"/>
                  <w:sz w:val="22"/>
                  <w:szCs w:val="22"/>
                </w:rPr>
                <m:t xml:space="preserve"> ;∀i, ∀t, ∀k #</m:t>
              </m:r>
              <m:d>
                <m:dPr>
                  <m:ctrlPr>
                    <w:rPr>
                      <w:rFonts w:ascii="Cambria Math" w:eastAsiaTheme="minorEastAsia" w:hAnsi="Cambria Math"/>
                      <w:i/>
                      <w:sz w:val="22"/>
                      <w:szCs w:val="22"/>
                    </w:rPr>
                  </m:ctrlPr>
                </m:dPr>
                <m:e>
                  <m:r>
                    <w:rPr>
                      <w:rFonts w:ascii="Cambria Math" w:eastAsiaTheme="minorEastAsia" w:hAnsi="Cambria Math"/>
                      <w:sz w:val="22"/>
                      <w:szCs w:val="22"/>
                    </w:rPr>
                    <m:t>9</m:t>
                  </m:r>
                </m:e>
              </m:d>
            </m:e>
          </m:eqArr>
        </m:oMath>
      </m:oMathPara>
    </w:p>
    <w:p w14:paraId="667AA29D" w14:textId="033D807D" w:rsidR="00C77F5B" w:rsidRPr="00401C40" w:rsidRDefault="000352A9" w:rsidP="007133FB">
      <w:pPr>
        <w:pStyle w:val="IEEEPrafo"/>
        <w:rPr>
          <w:rFonts w:eastAsiaTheme="minorEastAsia"/>
          <w:sz w:val="22"/>
          <w:szCs w:val="22"/>
        </w:rPr>
      </w:pPr>
      <m:oMathPara>
        <m:oMath>
          <m:eqArr>
            <m:eqArrPr>
              <m:maxDist m:val="1"/>
              <m:ctrlPr>
                <w:rPr>
                  <w:rFonts w:ascii="Cambria Math" w:eastAsiaTheme="minorEastAsia" w:hAnsi="Cambria Math"/>
                  <w:i/>
                  <w:sz w:val="22"/>
                  <w:szCs w:val="22"/>
                </w:rPr>
              </m:ctrlPr>
            </m:eqArrPr>
            <m:e>
              <m:sSub>
                <m:sSubPr>
                  <m:ctrlPr>
                    <w:rPr>
                      <w:rFonts w:ascii="Cambria Math" w:eastAsiaTheme="minorEastAsia" w:hAnsi="Cambria Math"/>
                      <w:i/>
                      <w:sz w:val="22"/>
                      <w:szCs w:val="22"/>
                    </w:rPr>
                  </m:ctrlPr>
                </m:sSubPr>
                <m:e>
                  <m:r>
                    <w:rPr>
                      <w:rFonts w:ascii="Cambria Math" w:eastAsiaTheme="minorEastAsia" w:hAnsi="Cambria Math"/>
                      <w:sz w:val="22"/>
                      <w:szCs w:val="22"/>
                    </w:rPr>
                    <m:t>P</m:t>
                  </m:r>
                </m:e>
                <m:sub>
                  <m:sSub>
                    <m:sSubPr>
                      <m:ctrlPr>
                        <w:rPr>
                          <w:rFonts w:ascii="Cambria Math" w:eastAsiaTheme="minorEastAsia" w:hAnsi="Cambria Math"/>
                          <w:i/>
                          <w:sz w:val="22"/>
                          <w:szCs w:val="22"/>
                        </w:rPr>
                      </m:ctrlPr>
                    </m:sSubPr>
                    <m:e>
                      <m:r>
                        <w:rPr>
                          <w:rFonts w:ascii="Cambria Math" w:eastAsiaTheme="minorEastAsia" w:hAnsi="Cambria Math"/>
                          <w:sz w:val="22"/>
                          <w:szCs w:val="22"/>
                        </w:rPr>
                        <m:t>g</m:t>
                      </m:r>
                    </m:e>
                    <m:sub>
                      <m:r>
                        <w:rPr>
                          <w:rFonts w:ascii="Cambria Math" w:eastAsiaTheme="minorEastAsia" w:hAnsi="Cambria Math"/>
                          <w:sz w:val="22"/>
                          <w:szCs w:val="22"/>
                        </w:rPr>
                        <m:t>i,t,k-1</m:t>
                      </m:r>
                    </m:sub>
                  </m:sSub>
                </m:sub>
              </m:sSub>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P</m:t>
                  </m:r>
                </m:e>
                <m:sub>
                  <m:sSub>
                    <m:sSubPr>
                      <m:ctrlPr>
                        <w:rPr>
                          <w:rFonts w:ascii="Cambria Math" w:eastAsiaTheme="minorEastAsia" w:hAnsi="Cambria Math"/>
                          <w:i/>
                          <w:sz w:val="22"/>
                          <w:szCs w:val="22"/>
                        </w:rPr>
                      </m:ctrlPr>
                    </m:sSubPr>
                    <m:e>
                      <m:r>
                        <w:rPr>
                          <w:rFonts w:ascii="Cambria Math" w:eastAsiaTheme="minorEastAsia" w:hAnsi="Cambria Math"/>
                          <w:sz w:val="22"/>
                          <w:szCs w:val="22"/>
                        </w:rPr>
                        <m:t>g</m:t>
                      </m:r>
                    </m:e>
                    <m:sub>
                      <m:r>
                        <w:rPr>
                          <w:rFonts w:ascii="Cambria Math" w:eastAsiaTheme="minorEastAsia" w:hAnsi="Cambria Math"/>
                          <w:sz w:val="22"/>
                          <w:szCs w:val="22"/>
                        </w:rPr>
                        <m:t>i,t,k</m:t>
                      </m:r>
                    </m:sub>
                  </m:sSub>
                </m:sub>
              </m:sSub>
              <m:r>
                <w:rPr>
                  <w:rFonts w:ascii="Cambria Math" w:eastAsiaTheme="minorEastAsia" w:hAnsi="Cambria Math"/>
                  <w:sz w:val="22"/>
                  <w:szCs w:val="22"/>
                </w:rPr>
                <m:t xml:space="preserve">≤VTDi ; </m:t>
              </m:r>
              <m:r>
                <w:rPr>
                  <w:rFonts w:ascii="Cambria Math" w:eastAsiaTheme="minorEastAsia" w:hAnsi="Cambria Math" w:cs="Cambria Math"/>
                  <w:sz w:val="22"/>
                  <w:szCs w:val="22"/>
                </w:rPr>
                <m:t>∀</m:t>
              </m:r>
              <m:r>
                <w:rPr>
                  <w:rFonts w:ascii="Cambria Math" w:eastAsiaTheme="minorEastAsia" w:hAnsi="Cambria Math"/>
                  <w:sz w:val="22"/>
                  <w:szCs w:val="22"/>
                </w:rPr>
                <m:t xml:space="preserve">i, </m:t>
              </m:r>
              <m:r>
                <w:rPr>
                  <w:rFonts w:ascii="Cambria Math" w:eastAsiaTheme="minorEastAsia" w:hAnsi="Cambria Math" w:cs="Cambria Math"/>
                  <w:sz w:val="22"/>
                  <w:szCs w:val="22"/>
                </w:rPr>
                <m:t>∀</m:t>
              </m:r>
              <m:r>
                <w:rPr>
                  <w:rFonts w:ascii="Cambria Math" w:eastAsiaTheme="minorEastAsia" w:hAnsi="Cambria Math"/>
                  <w:sz w:val="22"/>
                  <w:szCs w:val="22"/>
                </w:rPr>
                <m:t>t,</m:t>
              </m:r>
              <m:r>
                <w:rPr>
                  <w:rFonts w:ascii="Cambria Math" w:eastAsiaTheme="minorEastAsia" w:hAnsi="Cambria Math" w:cs="Cambria Math"/>
                  <w:sz w:val="22"/>
                  <w:szCs w:val="22"/>
                </w:rPr>
                <m:t>∀</m:t>
              </m:r>
              <m:r>
                <w:rPr>
                  <w:rFonts w:ascii="Cambria Math" w:eastAsiaTheme="minorEastAsia" w:hAnsi="Cambria Math"/>
                  <w:sz w:val="22"/>
                  <w:szCs w:val="22"/>
                </w:rPr>
                <m:t>k #</m:t>
              </m:r>
              <m:d>
                <m:dPr>
                  <m:ctrlPr>
                    <w:rPr>
                      <w:rFonts w:ascii="Cambria Math" w:eastAsiaTheme="minorEastAsia" w:hAnsi="Cambria Math"/>
                      <w:i/>
                      <w:sz w:val="22"/>
                      <w:szCs w:val="22"/>
                    </w:rPr>
                  </m:ctrlPr>
                </m:dPr>
                <m:e>
                  <m:r>
                    <w:rPr>
                      <w:rFonts w:ascii="Cambria Math" w:eastAsiaTheme="minorEastAsia" w:hAnsi="Cambria Math"/>
                      <w:sz w:val="22"/>
                      <w:szCs w:val="22"/>
                    </w:rPr>
                    <m:t>10</m:t>
                  </m:r>
                </m:e>
              </m:d>
            </m:e>
          </m:eqArr>
        </m:oMath>
      </m:oMathPara>
    </w:p>
    <w:p w14:paraId="58F38E2D" w14:textId="0FD79D0C" w:rsidR="00C77F5B" w:rsidRPr="00401C40" w:rsidRDefault="000352A9" w:rsidP="007133FB">
      <w:pPr>
        <w:pStyle w:val="IEEEPrafo"/>
        <w:rPr>
          <w:rFonts w:eastAsiaTheme="minorEastAsia"/>
          <w:sz w:val="22"/>
          <w:szCs w:val="22"/>
        </w:rPr>
      </w:pPr>
      <m:oMathPara>
        <m:oMath>
          <m:eqArr>
            <m:eqArrPr>
              <m:maxDist m:val="1"/>
              <m:ctrlPr>
                <w:rPr>
                  <w:rFonts w:ascii="Cambria Math" w:eastAsiaTheme="minorEastAsia" w:hAnsi="Cambria Math"/>
                  <w:i/>
                  <w:sz w:val="22"/>
                  <w:szCs w:val="22"/>
                </w:rPr>
              </m:ctrlPr>
            </m:eqArrPr>
            <m:e>
              <m:sSub>
                <m:sSubPr>
                  <m:ctrlPr>
                    <w:rPr>
                      <w:rFonts w:ascii="Cambria Math" w:eastAsiaTheme="minorEastAsia" w:hAnsi="Cambria Math"/>
                      <w:i/>
                      <w:sz w:val="22"/>
                      <w:szCs w:val="22"/>
                    </w:rPr>
                  </m:ctrlPr>
                </m:sSubPr>
                <m:e>
                  <m:r>
                    <w:rPr>
                      <w:rFonts w:ascii="Cambria Math" w:eastAsiaTheme="minorEastAsia" w:hAnsi="Cambria Math"/>
                      <w:sz w:val="22"/>
                      <w:szCs w:val="22"/>
                    </w:rPr>
                    <m:t>P</m:t>
                  </m:r>
                </m:e>
                <m:sub>
                  <m:sSub>
                    <m:sSubPr>
                      <m:ctrlPr>
                        <w:rPr>
                          <w:rFonts w:ascii="Cambria Math" w:eastAsiaTheme="minorEastAsia" w:hAnsi="Cambria Math"/>
                          <w:i/>
                          <w:sz w:val="22"/>
                          <w:szCs w:val="22"/>
                        </w:rPr>
                      </m:ctrlPr>
                    </m:sSubPr>
                    <m:e>
                      <m:r>
                        <w:rPr>
                          <w:rFonts w:ascii="Cambria Math" w:eastAsiaTheme="minorEastAsia" w:hAnsi="Cambria Math"/>
                          <w:sz w:val="22"/>
                          <w:szCs w:val="22"/>
                        </w:rPr>
                        <m:t>g</m:t>
                      </m:r>
                    </m:e>
                    <m:sub>
                      <m:r>
                        <w:rPr>
                          <w:rFonts w:ascii="Cambria Math" w:eastAsiaTheme="minorEastAsia" w:hAnsi="Cambria Math"/>
                          <w:sz w:val="22"/>
                          <w:szCs w:val="22"/>
                        </w:rPr>
                        <m:t>i,t-1,</m:t>
                      </m:r>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f</m:t>
                          </m:r>
                        </m:sub>
                      </m:sSub>
                    </m:sub>
                  </m:sSub>
                </m:sub>
              </m:sSub>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P</m:t>
                  </m:r>
                </m:e>
                <m:sub>
                  <m:sSub>
                    <m:sSubPr>
                      <m:ctrlPr>
                        <w:rPr>
                          <w:rFonts w:ascii="Cambria Math" w:eastAsiaTheme="minorEastAsia" w:hAnsi="Cambria Math"/>
                          <w:i/>
                          <w:sz w:val="22"/>
                          <w:szCs w:val="22"/>
                        </w:rPr>
                      </m:ctrlPr>
                    </m:sSubPr>
                    <m:e>
                      <m:r>
                        <w:rPr>
                          <w:rFonts w:ascii="Cambria Math" w:eastAsiaTheme="minorEastAsia" w:hAnsi="Cambria Math"/>
                          <w:sz w:val="22"/>
                          <w:szCs w:val="22"/>
                        </w:rPr>
                        <m:t>g</m:t>
                      </m:r>
                    </m:e>
                    <m:sub>
                      <m:r>
                        <w:rPr>
                          <w:rFonts w:ascii="Cambria Math" w:eastAsiaTheme="minorEastAsia" w:hAnsi="Cambria Math"/>
                          <w:sz w:val="22"/>
                          <w:szCs w:val="22"/>
                        </w:rPr>
                        <m:t>i,t,1</m:t>
                      </m:r>
                    </m:sub>
                  </m:sSub>
                </m:sub>
              </m:sSub>
              <m:r>
                <w:rPr>
                  <w:rFonts w:ascii="Cambria Math" w:eastAsiaTheme="minorEastAsia" w:hAnsi="Cambria Math"/>
                  <w:sz w:val="22"/>
                  <w:szCs w:val="22"/>
                </w:rPr>
                <m:t>≤VT</m:t>
              </m:r>
              <m:sSub>
                <m:sSubPr>
                  <m:ctrlPr>
                    <w:rPr>
                      <w:rFonts w:ascii="Cambria Math" w:eastAsiaTheme="minorEastAsia" w:hAnsi="Cambria Math"/>
                      <w:i/>
                      <w:sz w:val="22"/>
                      <w:szCs w:val="22"/>
                    </w:rPr>
                  </m:ctrlPr>
                </m:sSubPr>
                <m:e>
                  <m:r>
                    <w:rPr>
                      <w:rFonts w:ascii="Cambria Math" w:eastAsiaTheme="minorEastAsia" w:hAnsi="Cambria Math"/>
                      <w:sz w:val="22"/>
                      <w:szCs w:val="22"/>
                    </w:rPr>
                    <m:t>D</m:t>
                  </m:r>
                </m:e>
                <m:sub>
                  <m:r>
                    <w:rPr>
                      <w:rFonts w:ascii="Cambria Math" w:eastAsiaTheme="minorEastAsia" w:hAnsi="Cambria Math"/>
                      <w:sz w:val="22"/>
                      <w:szCs w:val="22"/>
                    </w:rPr>
                    <m:t>i</m:t>
                  </m:r>
                </m:sub>
              </m:sSub>
              <m:r>
                <w:rPr>
                  <w:rFonts w:ascii="Cambria Math" w:eastAsiaTheme="minorEastAsia" w:hAnsi="Cambria Math"/>
                  <w:sz w:val="22"/>
                  <w:szCs w:val="22"/>
                </w:rPr>
                <m:t xml:space="preserve"> ;∀i, ∀t, ∀k #</m:t>
              </m:r>
              <m:d>
                <m:dPr>
                  <m:ctrlPr>
                    <w:rPr>
                      <w:rFonts w:ascii="Cambria Math" w:eastAsiaTheme="minorEastAsia" w:hAnsi="Cambria Math"/>
                      <w:i/>
                      <w:sz w:val="22"/>
                      <w:szCs w:val="22"/>
                    </w:rPr>
                  </m:ctrlPr>
                </m:dPr>
                <m:e>
                  <m:r>
                    <w:rPr>
                      <w:rFonts w:ascii="Cambria Math" w:eastAsiaTheme="minorEastAsia" w:hAnsi="Cambria Math"/>
                      <w:sz w:val="22"/>
                      <w:szCs w:val="22"/>
                    </w:rPr>
                    <m:t>11</m:t>
                  </m:r>
                </m:e>
              </m:d>
            </m:e>
          </m:eqArr>
        </m:oMath>
      </m:oMathPara>
    </w:p>
    <w:p w14:paraId="17B784D3" w14:textId="73259287" w:rsidR="00742320" w:rsidRPr="000D1B39" w:rsidRDefault="00742320" w:rsidP="007133FB">
      <w:pPr>
        <w:pStyle w:val="IEEEPrafo"/>
      </w:pPr>
    </w:p>
    <w:p w14:paraId="0373488C" w14:textId="077A392D" w:rsidR="000151A9" w:rsidRPr="00B85039" w:rsidRDefault="00CD1256" w:rsidP="007133FB">
      <w:pPr>
        <w:pStyle w:val="IEEEPrafo"/>
      </w:pPr>
      <w:r w:rsidRPr="00B85039">
        <w:t xml:space="preserve">También es necesario definir que tales valores de potencia deben estar acotados entre un valor de potencia mínimo (0 o el mínimo técnico) y máximo (potencia </w:t>
      </w:r>
      <w:r w:rsidR="00496F5C" w:rsidRPr="00B85039">
        <w:t>bruta</w:t>
      </w:r>
      <w:r w:rsidRPr="00B85039">
        <w:t xml:space="preserve"> o </w:t>
      </w:r>
      <w:r w:rsidR="00496F5C" w:rsidRPr="00B85039">
        <w:t>la potencia nominal</w:t>
      </w:r>
      <w:r w:rsidRPr="00B85039">
        <w:t xml:space="preserve"> del recurso)</w:t>
      </w:r>
      <w:r w:rsidR="00496F5C" w:rsidRPr="00B85039">
        <w:t xml:space="preserve"> </w:t>
      </w:r>
      <w:r w:rsidR="00496F5C" w:rsidRPr="00B85039">
        <w:fldChar w:fldCharType="begin" w:fldLock="1"/>
      </w:r>
      <w:r w:rsidR="005C6D71" w:rsidRPr="00B85039">
        <w:instrText>ADDIN CSL_CITATION {"citationItems":[{"id":"ITEM-1","itemData":{"author":[{"dropping-particle":"","family":"Carreno","given":"Oscar Mauricio","non-dropping-particle":"","parse-names":false,"suffix":""}],"id":"ITEM-1","issued":{"date-parts":[["0"]]},"page":"1-11","title":"Modelo Matemático para las tasas de toma de carga y descarga de los recursos de generación.","type":"article-journal"},"uris":["http://www.mendeley.com/documents/?uuid=224be55b-925e-4a19-aaf0-7c99f95ee6f1"]}],"mendeley":{"formattedCitation":"[12]","plainTextFormattedCitation":"[12]","previouslyFormattedCitation":"[12]"},"properties":{"noteIndex":0},"schema":"https://github.com/citation-style-language/schema/raw/master/csl-citation.json"}</w:instrText>
      </w:r>
      <w:r w:rsidR="00496F5C" w:rsidRPr="00B85039">
        <w:fldChar w:fldCharType="separate"/>
      </w:r>
      <w:r w:rsidR="00496F5C" w:rsidRPr="00B85039">
        <w:rPr>
          <w:noProof/>
        </w:rPr>
        <w:t>[12]</w:t>
      </w:r>
      <w:r w:rsidR="00496F5C" w:rsidRPr="00B85039">
        <w:fldChar w:fldCharType="end"/>
      </w:r>
      <w:r w:rsidR="00496F5C" w:rsidRPr="00B85039">
        <w:t>:</w:t>
      </w:r>
    </w:p>
    <w:p w14:paraId="7D173BAA" w14:textId="7F58E955" w:rsidR="00496F5C" w:rsidRPr="00B85039" w:rsidRDefault="00496F5C" w:rsidP="000D6AB9">
      <w:pPr>
        <w:pStyle w:val="IEEEPrafo"/>
      </w:pPr>
    </w:p>
    <w:p w14:paraId="10FC5665" w14:textId="6708CA67" w:rsidR="00496F5C" w:rsidRPr="00401C40" w:rsidRDefault="000352A9" w:rsidP="000D6AB9">
      <w:pPr>
        <w:pStyle w:val="IEEEPrafo"/>
        <w:rPr>
          <w:rFonts w:eastAsiaTheme="minorEastAsia"/>
          <w:sz w:val="22"/>
          <w:szCs w:val="22"/>
        </w:rPr>
      </w:pPr>
      <m:oMathPara>
        <m:oMath>
          <m:eqArr>
            <m:eqArrPr>
              <m:maxDist m:val="1"/>
              <m:ctrlPr>
                <w:rPr>
                  <w:rFonts w:ascii="Cambria Math" w:eastAsiaTheme="minorEastAsia" w:hAnsi="Cambria Math"/>
                  <w:i/>
                  <w:iCs w:val="0"/>
                  <w:sz w:val="22"/>
                  <w:szCs w:val="22"/>
                </w:rPr>
              </m:ctrlPr>
            </m:eqArrPr>
            <m:e>
              <m:sSub>
                <m:sSubPr>
                  <m:ctrlPr>
                    <w:rPr>
                      <w:rFonts w:ascii="Cambria Math" w:hAnsi="Cambria Math"/>
                      <w:i/>
                      <w:iCs w:val="0"/>
                      <w:sz w:val="22"/>
                      <w:szCs w:val="22"/>
                    </w:rPr>
                  </m:ctrlPr>
                </m:sSubPr>
                <m:e>
                  <m:r>
                    <w:rPr>
                      <w:rFonts w:ascii="Cambria Math" w:hAnsi="Cambria Math"/>
                      <w:sz w:val="22"/>
                      <w:szCs w:val="22"/>
                    </w:rPr>
                    <m:t>P</m:t>
                  </m:r>
                </m:e>
                <m:sub>
                  <m:sSub>
                    <m:sSubPr>
                      <m:ctrlPr>
                        <w:rPr>
                          <w:rFonts w:ascii="Cambria Math" w:hAnsi="Cambria Math"/>
                          <w:i/>
                          <w:iCs w:val="0"/>
                          <w:sz w:val="22"/>
                          <w:szCs w:val="22"/>
                        </w:rPr>
                      </m:ctrlPr>
                    </m:sSubPr>
                    <m:e>
                      <m:r>
                        <w:rPr>
                          <w:rFonts w:ascii="Cambria Math" w:hAnsi="Cambria Math"/>
                          <w:sz w:val="22"/>
                          <w:szCs w:val="22"/>
                        </w:rPr>
                        <m:t>g</m:t>
                      </m:r>
                    </m:e>
                    <m:sub>
                      <m:r>
                        <w:rPr>
                          <w:rFonts w:ascii="Cambria Math" w:hAnsi="Cambria Math"/>
                          <w:sz w:val="22"/>
                          <w:szCs w:val="22"/>
                        </w:rPr>
                        <m:t>i,t,k</m:t>
                      </m:r>
                    </m:sub>
                  </m:sSub>
                </m:sub>
              </m:sSub>
              <m:r>
                <w:rPr>
                  <w:rFonts w:ascii="Cambria Math" w:hAnsi="Cambria Math"/>
                  <w:sz w:val="22"/>
                  <w:szCs w:val="22"/>
                </w:rPr>
                <m:t>≤ma</m:t>
              </m:r>
              <m:sSub>
                <m:sSubPr>
                  <m:ctrlPr>
                    <w:rPr>
                      <w:rFonts w:ascii="Cambria Math" w:hAnsi="Cambria Math"/>
                      <w:i/>
                      <w:iCs w:val="0"/>
                      <w:sz w:val="22"/>
                      <w:szCs w:val="22"/>
                    </w:rPr>
                  </m:ctrlPr>
                </m:sSubPr>
                <m:e>
                  <m:r>
                    <w:rPr>
                      <w:rFonts w:ascii="Cambria Math" w:hAnsi="Cambria Math"/>
                      <w:sz w:val="22"/>
                      <w:szCs w:val="22"/>
                    </w:rPr>
                    <m:t>x</m:t>
                  </m:r>
                </m:e>
                <m:sub>
                  <m:r>
                    <w:rPr>
                      <w:rFonts w:ascii="Cambria Math" w:hAnsi="Cambria Math"/>
                      <w:sz w:val="22"/>
                      <w:szCs w:val="22"/>
                    </w:rPr>
                    <m:t>i,t</m:t>
                  </m:r>
                </m:sub>
              </m:sSub>
              <m:r>
                <w:rPr>
                  <w:rFonts w:ascii="Cambria Math" w:eastAsiaTheme="minorEastAsia" w:hAnsi="Cambria Math"/>
                  <w:sz w:val="22"/>
                  <w:szCs w:val="22"/>
                </w:rPr>
                <m:t xml:space="preserve"> ; ∀i, ∀t, ∀k </m:t>
              </m:r>
              <m:r>
                <w:rPr>
                  <w:rFonts w:ascii="Cambria Math" w:hAnsi="Cambria Math"/>
                  <w:sz w:val="22"/>
                  <w:szCs w:val="22"/>
                </w:rPr>
                <m:t>#</m:t>
              </m:r>
              <m:d>
                <m:dPr>
                  <m:ctrlPr>
                    <w:rPr>
                      <w:rFonts w:ascii="Cambria Math" w:eastAsiaTheme="minorEastAsia" w:hAnsi="Cambria Math"/>
                      <w:i/>
                      <w:iCs w:val="0"/>
                      <w:sz w:val="22"/>
                      <w:szCs w:val="22"/>
                    </w:rPr>
                  </m:ctrlPr>
                </m:dPr>
                <m:e>
                  <m:r>
                    <w:rPr>
                      <w:rFonts w:ascii="Cambria Math" w:eastAsiaTheme="minorEastAsia" w:hAnsi="Cambria Math"/>
                      <w:sz w:val="22"/>
                      <w:szCs w:val="22"/>
                    </w:rPr>
                    <m:t>12</m:t>
                  </m:r>
                </m:e>
              </m:d>
              <m:ctrlPr>
                <w:rPr>
                  <w:rFonts w:ascii="Cambria Math" w:hAnsi="Cambria Math"/>
                  <w:i/>
                  <w:iCs w:val="0"/>
                  <w:sz w:val="22"/>
                  <w:szCs w:val="22"/>
                </w:rPr>
              </m:ctrlPr>
            </m:e>
          </m:eqArr>
        </m:oMath>
      </m:oMathPara>
    </w:p>
    <w:p w14:paraId="1555075D" w14:textId="7AF368CF" w:rsidR="00496F5C" w:rsidRPr="00401C40" w:rsidRDefault="000352A9" w:rsidP="000D6AB9">
      <w:pPr>
        <w:pStyle w:val="IEEEPrafo"/>
        <w:rPr>
          <w:rFonts w:eastAsiaTheme="minorEastAsia"/>
          <w:i/>
          <w:iCs w:val="0"/>
          <w:sz w:val="22"/>
          <w:szCs w:val="22"/>
        </w:rPr>
      </w:pPr>
      <m:oMathPara>
        <m:oMath>
          <m:eqArr>
            <m:eqArrPr>
              <m:maxDist m:val="1"/>
              <m:ctrlPr>
                <w:rPr>
                  <w:rFonts w:ascii="Cambria Math" w:eastAsiaTheme="minorEastAsia" w:hAnsi="Cambria Math"/>
                  <w:i/>
                  <w:iCs w:val="0"/>
                  <w:sz w:val="22"/>
                  <w:szCs w:val="22"/>
                </w:rPr>
              </m:ctrlPr>
            </m:eqArrPr>
            <m:e>
              <m:sSub>
                <m:sSubPr>
                  <m:ctrlPr>
                    <w:rPr>
                      <w:rFonts w:ascii="Cambria Math" w:hAnsi="Cambria Math"/>
                      <w:i/>
                      <w:iCs w:val="0"/>
                      <w:sz w:val="22"/>
                      <w:szCs w:val="22"/>
                    </w:rPr>
                  </m:ctrlPr>
                </m:sSubPr>
                <m:e>
                  <m:r>
                    <w:rPr>
                      <w:rFonts w:ascii="Cambria Math" w:hAnsi="Cambria Math"/>
                      <w:sz w:val="22"/>
                      <w:szCs w:val="22"/>
                    </w:rPr>
                    <m:t>P</m:t>
                  </m:r>
                </m:e>
                <m:sub>
                  <m:sSub>
                    <m:sSubPr>
                      <m:ctrlPr>
                        <w:rPr>
                          <w:rFonts w:ascii="Cambria Math" w:hAnsi="Cambria Math"/>
                          <w:i/>
                          <w:iCs w:val="0"/>
                          <w:sz w:val="22"/>
                          <w:szCs w:val="22"/>
                        </w:rPr>
                      </m:ctrlPr>
                    </m:sSubPr>
                    <m:e>
                      <m:r>
                        <w:rPr>
                          <w:rFonts w:ascii="Cambria Math" w:hAnsi="Cambria Math"/>
                          <w:sz w:val="22"/>
                          <w:szCs w:val="22"/>
                        </w:rPr>
                        <m:t>g</m:t>
                      </m:r>
                    </m:e>
                    <m:sub>
                      <m:r>
                        <w:rPr>
                          <w:rFonts w:ascii="Cambria Math" w:hAnsi="Cambria Math"/>
                          <w:sz w:val="22"/>
                          <w:szCs w:val="22"/>
                        </w:rPr>
                        <m:t>i,t,k</m:t>
                      </m:r>
                    </m:sub>
                  </m:sSub>
                </m:sub>
              </m:sSub>
              <m:r>
                <w:rPr>
                  <w:rFonts w:ascii="Cambria Math" w:hAnsi="Cambria Math"/>
                  <w:sz w:val="22"/>
                  <w:szCs w:val="22"/>
                </w:rPr>
                <m:t>≥mi</m:t>
              </m:r>
              <m:sSub>
                <m:sSubPr>
                  <m:ctrlPr>
                    <w:rPr>
                      <w:rFonts w:ascii="Cambria Math" w:hAnsi="Cambria Math"/>
                      <w:i/>
                      <w:iCs w:val="0"/>
                      <w:sz w:val="22"/>
                      <w:szCs w:val="22"/>
                    </w:rPr>
                  </m:ctrlPr>
                </m:sSubPr>
                <m:e>
                  <m:r>
                    <w:rPr>
                      <w:rFonts w:ascii="Cambria Math" w:hAnsi="Cambria Math"/>
                      <w:sz w:val="22"/>
                      <w:szCs w:val="22"/>
                    </w:rPr>
                    <m:t>n</m:t>
                  </m:r>
                </m:e>
                <m:sub>
                  <m:r>
                    <w:rPr>
                      <w:rFonts w:ascii="Cambria Math" w:hAnsi="Cambria Math"/>
                      <w:sz w:val="22"/>
                      <w:szCs w:val="22"/>
                    </w:rPr>
                    <m:t>i,t</m:t>
                  </m:r>
                </m:sub>
              </m:sSub>
              <m:r>
                <w:rPr>
                  <w:rFonts w:ascii="Cambria Math" w:eastAsiaTheme="minorEastAsia" w:hAnsi="Cambria Math"/>
                  <w:sz w:val="22"/>
                  <w:szCs w:val="22"/>
                </w:rPr>
                <m:t xml:space="preserve"> ; ∀i, ∀t, ∀k </m:t>
              </m:r>
              <m:r>
                <w:rPr>
                  <w:rFonts w:ascii="Cambria Math" w:hAnsi="Cambria Math"/>
                  <w:sz w:val="22"/>
                  <w:szCs w:val="22"/>
                </w:rPr>
                <m:t>#</m:t>
              </m:r>
              <m:d>
                <m:dPr>
                  <m:ctrlPr>
                    <w:rPr>
                      <w:rFonts w:ascii="Cambria Math" w:eastAsiaTheme="minorEastAsia" w:hAnsi="Cambria Math"/>
                      <w:i/>
                      <w:iCs w:val="0"/>
                      <w:sz w:val="22"/>
                      <w:szCs w:val="22"/>
                    </w:rPr>
                  </m:ctrlPr>
                </m:dPr>
                <m:e>
                  <m:r>
                    <w:rPr>
                      <w:rFonts w:ascii="Cambria Math" w:eastAsiaTheme="minorEastAsia" w:hAnsi="Cambria Math"/>
                      <w:sz w:val="22"/>
                      <w:szCs w:val="22"/>
                    </w:rPr>
                    <m:t>13</m:t>
                  </m:r>
                </m:e>
              </m:d>
              <m:ctrlPr>
                <w:rPr>
                  <w:rFonts w:ascii="Cambria Math" w:hAnsi="Cambria Math"/>
                  <w:i/>
                  <w:iCs w:val="0"/>
                  <w:sz w:val="22"/>
                  <w:szCs w:val="22"/>
                </w:rPr>
              </m:ctrlPr>
            </m:e>
          </m:eqArr>
        </m:oMath>
      </m:oMathPara>
    </w:p>
    <w:p w14:paraId="781E2385" w14:textId="77777777" w:rsidR="00496F5C" w:rsidRPr="00B85039" w:rsidRDefault="00496F5C" w:rsidP="00496F5C">
      <w:pPr>
        <w:pStyle w:val="IEEEPrafo"/>
      </w:pPr>
    </w:p>
    <w:p w14:paraId="289062AA" w14:textId="515D3673" w:rsidR="005C6D71" w:rsidRDefault="00496F5C" w:rsidP="00496F5C">
      <w:pPr>
        <w:pStyle w:val="IEEEPrafo"/>
        <w:rPr>
          <w:rFonts w:eastAsiaTheme="minorEastAsia"/>
        </w:rPr>
      </w:pPr>
      <w:r w:rsidRPr="00B85039">
        <w:t xml:space="preserve">Ahora que la potencia se tiene en cuenta para cada subperíodo, es imperativo recordar que la función objetivo (ecuación (1)) </w:t>
      </w:r>
      <w:r w:rsidR="00DA1992" w:rsidRPr="00B85039">
        <w:t xml:space="preserve">no presenta la variable de potencia, sino de generación (energía) y el pronóstico de demanda es en potencia por período, es decir, energía. Así pues, se debe relacionar la potencia en cada subperíodo con la energía total del período, lo cual implica sumar las áreas debajo de la curva de potencia en el período </w:t>
      </w:r>
      <w:r w:rsidR="00DA1992" w:rsidRPr="000467FF">
        <w:rPr>
          <w:i/>
          <w:iCs w:val="0"/>
        </w:rPr>
        <w:t>t</w:t>
      </w:r>
      <w:r w:rsidR="00DA1992" w:rsidRPr="00B85039">
        <w:t xml:space="preserve"> a través del uso de rectángulos y triángulos, puesto que el tiempo está discretizado por minuto.</w:t>
      </w:r>
      <w:r w:rsidR="00EA15D4" w:rsidRPr="00B85039">
        <w:t xml:space="preserve"> Se usa</w:t>
      </w:r>
      <w:r w:rsidR="000467FF">
        <w:t>,</w:t>
      </w:r>
      <w:r w:rsidR="00EA15D4" w:rsidRPr="00B85039">
        <w:t xml:space="preserve"> como base d</w:t>
      </w:r>
      <w:r w:rsidR="009C1432" w:rsidRPr="00B85039">
        <w:t>e cada</w:t>
      </w:r>
      <w:r w:rsidR="00EA15D4" w:rsidRPr="00B85039">
        <w:t xml:space="preserve"> rectángulo </w:t>
      </w:r>
      <w:r w:rsidR="003759D8" w:rsidRPr="00B85039">
        <w:t xml:space="preserve">y triángulo, </w:t>
      </w:r>
      <w:r w:rsidR="00EA15D4" w:rsidRPr="00B85039">
        <w:t xml:space="preserve">la mínima representación de tiempo del subperíodo k en el período t </w:t>
      </w:r>
      <m:oMath>
        <m:d>
          <m:dPr>
            <m:ctrlPr>
              <w:rPr>
                <w:rFonts w:ascii="Cambria Math" w:hAnsi="Cambria Math"/>
                <w:i/>
                <w:sz w:val="22"/>
                <w:szCs w:val="22"/>
              </w:rPr>
            </m:ctrlPr>
          </m:dPr>
          <m:e>
            <m:f>
              <m:fPr>
                <m:ctrlPr>
                  <w:rPr>
                    <w:rFonts w:ascii="Cambria Math" w:hAnsi="Cambria Math"/>
                    <w:i/>
                    <w:sz w:val="22"/>
                    <w:szCs w:val="22"/>
                  </w:rPr>
                </m:ctrlPr>
              </m:fPr>
              <m:num>
                <m:r>
                  <w:rPr>
                    <w:rFonts w:ascii="Cambria Math" w:hAnsi="Cambria Math"/>
                    <w:sz w:val="22"/>
                    <w:szCs w:val="22"/>
                  </w:rPr>
                  <m:t>1</m:t>
                </m:r>
              </m:num>
              <m:den>
                <m:sSub>
                  <m:sSubPr>
                    <m:ctrlPr>
                      <w:rPr>
                        <w:rFonts w:ascii="Cambria Math" w:hAnsi="Cambria Math"/>
                        <w:i/>
                        <w:sz w:val="22"/>
                        <w:szCs w:val="22"/>
                      </w:rPr>
                    </m:ctrlPr>
                  </m:sSubPr>
                  <m:e>
                    <m:r>
                      <w:rPr>
                        <w:rFonts w:ascii="Cambria Math" w:hAnsi="Cambria Math"/>
                        <w:sz w:val="22"/>
                        <w:szCs w:val="22"/>
                      </w:rPr>
                      <m:t>k</m:t>
                    </m:r>
                  </m:e>
                  <m:sub>
                    <m:r>
                      <w:rPr>
                        <w:rFonts w:ascii="Cambria Math" w:hAnsi="Cambria Math"/>
                        <w:sz w:val="22"/>
                        <w:szCs w:val="22"/>
                      </w:rPr>
                      <m:t>f</m:t>
                    </m:r>
                  </m:sub>
                </m:sSub>
              </m:den>
            </m:f>
          </m:e>
        </m:d>
        <m:r>
          <w:rPr>
            <w:rFonts w:ascii="Cambria Math" w:hAnsi="Cambria Math"/>
            <w:sz w:val="22"/>
            <w:szCs w:val="22"/>
          </w:rPr>
          <m:t xml:space="preserve"> </m:t>
        </m:r>
      </m:oMath>
      <w:r w:rsidR="003759D8" w:rsidRPr="00B85039">
        <w:t>; c</w:t>
      </w:r>
      <w:r w:rsidR="009C1432" w:rsidRPr="00B85039">
        <w:t>omo altura</w:t>
      </w:r>
      <w:r w:rsidR="003759D8" w:rsidRPr="00B85039">
        <w:t xml:space="preserve"> del rectángulo</w:t>
      </w:r>
      <w:r w:rsidR="009C1432" w:rsidRPr="00B85039">
        <w:t xml:space="preserve">, </w:t>
      </w:r>
      <w:r w:rsidR="003759D8" w:rsidRPr="00B85039">
        <w:t xml:space="preserve">se usa </w:t>
      </w:r>
      <w:r w:rsidR="009C1432" w:rsidRPr="00B85039">
        <w:t xml:space="preserve">la potencia del recurso en el subperíodo </w:t>
      </w:r>
      <m:oMath>
        <m:r>
          <m:rPr>
            <m:sty m:val="p"/>
          </m:rPr>
          <w:rPr>
            <w:rFonts w:ascii="Cambria Math" w:hAnsi="Cambria Math"/>
          </w:rPr>
          <m:t>k-</m:t>
        </m:r>
        <m:r>
          <m:rPr>
            <m:sty m:val="p"/>
          </m:rPr>
          <w:rPr>
            <w:rFonts w:ascii="Cambria Math" w:hAnsi="Cambria Math"/>
          </w:rPr>
          <m:t xml:space="preserve">1 </m:t>
        </m:r>
      </m:oMath>
      <w:r w:rsidR="00DC2EEE" w:rsidRPr="00B85039">
        <w:rPr>
          <w:rFonts w:eastAsiaTheme="minorEastAsia"/>
        </w:rPr>
        <w:t>(</w:t>
      </w:r>
      <w:r w:rsidR="003759D8" w:rsidRPr="00B85039">
        <w:rPr>
          <w:rFonts w:eastAsiaTheme="minorEastAsia"/>
        </w:rPr>
        <w:t xml:space="preserve">para el caso en el que </w:t>
      </w:r>
      <m:oMath>
        <m:r>
          <w:rPr>
            <w:rFonts w:ascii="Cambria Math" w:eastAsiaTheme="minorEastAsia" w:hAnsi="Cambria Math"/>
          </w:rPr>
          <m:t>k-1</m:t>
        </m:r>
      </m:oMath>
      <w:r w:rsidR="00DC2EEE" w:rsidRPr="00B85039">
        <w:rPr>
          <w:rFonts w:eastAsiaTheme="minorEastAsia"/>
        </w:rPr>
        <w:t xml:space="preserve"> </w:t>
      </w:r>
      <w:r w:rsidR="000467FF">
        <w:rPr>
          <w:rFonts w:eastAsiaTheme="minorEastAsia"/>
        </w:rPr>
        <w:t>sea</w:t>
      </w:r>
      <w:r w:rsidR="00DC2EEE" w:rsidRPr="00B85039">
        <w:rPr>
          <w:rFonts w:eastAsiaTheme="minorEastAsia"/>
        </w:rPr>
        <w:t xml:space="preserve"> 0, se toma el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f</m:t>
            </m:r>
          </m:sub>
        </m:sSub>
      </m:oMath>
      <w:r w:rsidR="000467FF">
        <w:rPr>
          <w:rFonts w:eastAsiaTheme="minorEastAsia"/>
        </w:rPr>
        <w:t xml:space="preserve"> </w:t>
      </w:r>
      <w:r w:rsidR="00DC2EEE" w:rsidRPr="00B85039">
        <w:rPr>
          <w:rFonts w:eastAsiaTheme="minorEastAsia"/>
        </w:rPr>
        <w:t>en el período anterior</w:t>
      </w:r>
      <w:r w:rsidR="000467FF">
        <w:rPr>
          <w:rFonts w:eastAsiaTheme="minorEastAsia"/>
        </w:rPr>
        <w:t xml:space="preserve"> </w:t>
      </w:r>
      <m:oMath>
        <m:d>
          <m:dPr>
            <m:ctrlPr>
              <w:rPr>
                <w:rFonts w:ascii="Cambria Math" w:eastAsiaTheme="minorEastAsia" w:hAnsi="Cambria Math"/>
                <w:i/>
              </w:rPr>
            </m:ctrlPr>
          </m:dPr>
          <m:e>
            <m:r>
              <w:rPr>
                <w:rFonts w:ascii="Cambria Math" w:eastAsiaTheme="minorEastAsia" w:hAnsi="Cambria Math"/>
              </w:rPr>
              <m:t>t-1</m:t>
            </m:r>
          </m:e>
        </m:d>
      </m:oMath>
      <w:r w:rsidR="00DC2EEE" w:rsidRPr="00B85039">
        <w:rPr>
          <w:rFonts w:eastAsiaTheme="minorEastAsia"/>
        </w:rPr>
        <w:t>)</w:t>
      </w:r>
      <w:r w:rsidR="003759D8" w:rsidRPr="00B85039">
        <w:rPr>
          <w:rFonts w:eastAsiaTheme="minorEastAsia"/>
        </w:rPr>
        <w:t xml:space="preserve">; como altura del triángulo, se utiliza el excedente </w:t>
      </w:r>
      <w:r w:rsidR="005C6D71" w:rsidRPr="00B85039">
        <w:rPr>
          <w:rFonts w:eastAsiaTheme="minorEastAsia"/>
        </w:rPr>
        <w:t>entre la</w:t>
      </w:r>
      <w:r w:rsidR="00260D85" w:rsidRPr="00B85039">
        <w:rPr>
          <w:rFonts w:eastAsiaTheme="minorEastAsia"/>
        </w:rPr>
        <w:t xml:space="preserve"> altura </w:t>
      </w:r>
      <w:r w:rsidR="005C6D71" w:rsidRPr="00B85039">
        <w:rPr>
          <w:rFonts w:eastAsiaTheme="minorEastAsia"/>
        </w:rPr>
        <w:t>d</w:t>
      </w:r>
      <w:r w:rsidR="00260D85" w:rsidRPr="00B85039">
        <w:rPr>
          <w:rFonts w:eastAsiaTheme="minorEastAsia"/>
        </w:rPr>
        <w:t>el rectángulo</w:t>
      </w:r>
      <w:r w:rsidR="003759D8" w:rsidRPr="00B85039">
        <w:rPr>
          <w:rFonts w:eastAsiaTheme="minorEastAsia"/>
        </w:rPr>
        <w:t xml:space="preserve"> </w:t>
      </w:r>
      <w:r w:rsidR="005C6D71" w:rsidRPr="00B85039">
        <w:rPr>
          <w:rFonts w:eastAsiaTheme="minorEastAsia"/>
        </w:rPr>
        <w:t>y</w:t>
      </w:r>
      <w:r w:rsidR="003759D8" w:rsidRPr="00B85039">
        <w:rPr>
          <w:rFonts w:eastAsiaTheme="minorEastAsia"/>
        </w:rPr>
        <w:t xml:space="preserve"> la curva</w:t>
      </w:r>
      <w:r w:rsidR="00260D85" w:rsidRPr="00B85039">
        <w:rPr>
          <w:rFonts w:eastAsiaTheme="minorEastAsia"/>
        </w:rPr>
        <w:t xml:space="preserve"> </w:t>
      </w:r>
      <w:r w:rsidR="003759D8" w:rsidRPr="00B85039">
        <w:rPr>
          <w:rFonts w:eastAsiaTheme="minorEastAsia"/>
        </w:rPr>
        <w:t xml:space="preserve">por encima </w:t>
      </w:r>
      <w:r w:rsidR="005C6D71" w:rsidRPr="00B85039">
        <w:rPr>
          <w:rFonts w:eastAsiaTheme="minorEastAsia"/>
        </w:rPr>
        <w:t xml:space="preserve">del mismo. La </w:t>
      </w:r>
      <w:hyperlink w:anchor="Fig4" w:history="1">
        <w:r w:rsidR="005C6D71" w:rsidRPr="00B85039">
          <w:rPr>
            <w:rStyle w:val="Hipervnculo"/>
            <w:rFonts w:eastAsiaTheme="minorEastAsia"/>
            <w:color w:val="auto"/>
            <w:u w:val="none"/>
          </w:rPr>
          <w:t>Fig. 4</w:t>
        </w:r>
      </w:hyperlink>
      <w:r w:rsidR="005C6D71" w:rsidRPr="00B85039">
        <w:rPr>
          <w:rFonts w:eastAsiaTheme="minorEastAsia"/>
        </w:rPr>
        <w:t xml:space="preserve"> representa tales áreas</w:t>
      </w:r>
      <w:r w:rsidR="00B85039">
        <w:rPr>
          <w:rFonts w:eastAsiaTheme="minorEastAsia"/>
        </w:rPr>
        <w:t xml:space="preserve"> </w:t>
      </w:r>
      <w:r w:rsidR="00B85039">
        <w:rPr>
          <w:rFonts w:eastAsiaTheme="minorEastAsia"/>
        </w:rPr>
        <w:fldChar w:fldCharType="begin" w:fldLock="1"/>
      </w:r>
      <w:r w:rsidR="00BD351B">
        <w:rPr>
          <w:rFonts w:eastAsiaTheme="minorEastAsia"/>
        </w:rPr>
        <w:instrText>ADDIN CSL_CITATION {"citationItems":[{"id":"ITEM-1","itemData":{"author":[{"dropping-particle":"","family":"Carreno","given":"Oscar Mauricio","non-dropping-particle":"","parse-names":false,"suffix":""}],"id":"ITEM-1","issued":{"date-parts":[["0"]]},"page":"1-11","title":"Modelo Matemático para las tasas de toma de carga y descarga de los recursos de generación.","type":"article-journal"},"uris":["http://www.mendeley.com/documents/?uuid=224be55b-925e-4a19-aaf0-7c99f95ee6f1"]}],"mendeley":{"formattedCitation":"[12]","plainTextFormattedCitation":"[12]","previouslyFormattedCitation":"[12]"},"properties":{"noteIndex":0},"schema":"https://github.com/citation-style-language/schema/raw/master/csl-citation.json"}</w:instrText>
      </w:r>
      <w:r w:rsidR="00B85039">
        <w:rPr>
          <w:rFonts w:eastAsiaTheme="minorEastAsia"/>
        </w:rPr>
        <w:fldChar w:fldCharType="separate"/>
      </w:r>
      <w:r w:rsidR="00B85039" w:rsidRPr="00B85039">
        <w:rPr>
          <w:rFonts w:eastAsiaTheme="minorEastAsia"/>
          <w:noProof/>
        </w:rPr>
        <w:t>[12]</w:t>
      </w:r>
      <w:r w:rsidR="00B85039">
        <w:rPr>
          <w:rFonts w:eastAsiaTheme="minorEastAsia"/>
        </w:rPr>
        <w:fldChar w:fldCharType="end"/>
      </w:r>
      <w:r w:rsidR="005C6D71" w:rsidRPr="00B85039">
        <w:rPr>
          <w:rFonts w:eastAsiaTheme="minorEastAsia"/>
        </w:rPr>
        <w:t>:</w:t>
      </w:r>
    </w:p>
    <w:p w14:paraId="32A38967" w14:textId="77777777" w:rsidR="005C6D71" w:rsidRDefault="005C6D71" w:rsidP="005C6D71">
      <w:pPr>
        <w:pStyle w:val="IEEEPrafo"/>
        <w:keepNext/>
        <w:jc w:val="center"/>
      </w:pPr>
      <w:bookmarkStart w:id="3" w:name="Fig4"/>
      <w:r>
        <w:rPr>
          <w:noProof/>
        </w:rPr>
        <w:drawing>
          <wp:inline distT="0" distB="0" distL="0" distR="0" wp14:anchorId="7D73D39E" wp14:editId="36B34F66">
            <wp:extent cx="2529140" cy="168592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11">
                      <a:extLst>
                        <a:ext uri="{28A0092B-C50C-407E-A947-70E740481C1C}">
                          <a14:useLocalDpi xmlns:a14="http://schemas.microsoft.com/office/drawing/2010/main" val="0"/>
                        </a:ext>
                      </a:extLst>
                    </a:blip>
                    <a:stretch>
                      <a:fillRect/>
                    </a:stretch>
                  </pic:blipFill>
                  <pic:spPr>
                    <a:xfrm>
                      <a:off x="0" y="0"/>
                      <a:ext cx="2552659" cy="1701603"/>
                    </a:xfrm>
                    <a:prstGeom prst="rect">
                      <a:avLst/>
                    </a:prstGeom>
                  </pic:spPr>
                </pic:pic>
              </a:graphicData>
            </a:graphic>
          </wp:inline>
        </w:drawing>
      </w:r>
      <w:bookmarkEnd w:id="3"/>
    </w:p>
    <w:p w14:paraId="384F75CC" w14:textId="00828199" w:rsidR="005C6D71" w:rsidRPr="005C6D71" w:rsidRDefault="005C6D71" w:rsidP="005C6D71">
      <w:pPr>
        <w:pStyle w:val="IEEEPrafo"/>
      </w:pPr>
      <w:r w:rsidRPr="005C6D71">
        <w:t xml:space="preserve">Fig.  </w:t>
      </w:r>
      <w:r w:rsidRPr="005C6D71">
        <w:fldChar w:fldCharType="begin"/>
      </w:r>
      <w:r w:rsidRPr="005C6D71">
        <w:instrText xml:space="preserve"> SEQ Fig._ \* ARABIC </w:instrText>
      </w:r>
      <w:r w:rsidRPr="005C6D71">
        <w:fldChar w:fldCharType="separate"/>
      </w:r>
      <w:r w:rsidR="00BA613F">
        <w:rPr>
          <w:noProof/>
        </w:rPr>
        <w:t>4</w:t>
      </w:r>
      <w:r w:rsidRPr="005C6D71">
        <w:fldChar w:fldCharType="end"/>
      </w:r>
      <w:r w:rsidRPr="005C6D71">
        <w:t xml:space="preserve">. Áreas que componen la suma para la obtención de la restricción que relaciona potencia y energía </w:t>
      </w:r>
      <w:r w:rsidRPr="005C6D71">
        <w:fldChar w:fldCharType="begin" w:fldLock="1"/>
      </w:r>
      <w:r w:rsidR="00B85039">
        <w:instrText>ADDIN CSL_CITATION {"citationItems":[{"id":"ITEM-1","itemData":{"author":[{"dropping-particle":"","family":"Carreno","given":"Oscar Mauricio","non-dropping-particle":"","parse-names":false,"suffix":""}],"id":"ITEM-1","issued":{"date-parts":[["0"]]},"page":"1-11","title":"Modelo Matemático para las tasas de toma de carga y descarga de los recursos de generación.","type":"article-journal"},"uris":["http://www.mendeley.com/documents/?uuid=224be55b-925e-4a19-aaf0-7c99f95ee6f1"]}],"mendeley":{"formattedCitation":"[12]","plainTextFormattedCitation":"[12]","previouslyFormattedCitation":"[12]"},"properties":{"noteIndex":0},"schema":"https://github.com/citation-style-language/schema/raw/master/csl-citation.json"}</w:instrText>
      </w:r>
      <w:r w:rsidRPr="005C6D71">
        <w:fldChar w:fldCharType="separate"/>
      </w:r>
      <w:r w:rsidRPr="005C6D71">
        <w:rPr>
          <w:noProof/>
        </w:rPr>
        <w:t>[12]</w:t>
      </w:r>
      <w:r w:rsidRPr="005C6D71">
        <w:fldChar w:fldCharType="end"/>
      </w:r>
      <w:r w:rsidRPr="005C6D71">
        <w:t>.</w:t>
      </w:r>
    </w:p>
    <w:p w14:paraId="41096397" w14:textId="15C162B8" w:rsidR="00496F5C" w:rsidRDefault="00496F5C" w:rsidP="000D6AB9">
      <w:pPr>
        <w:pStyle w:val="IEEEPrafo"/>
        <w:rPr>
          <w:rFonts w:ascii="Cambria Math" w:eastAsia="Cambria Math" w:hAnsi="Cambria Math" w:cs="Cambria Math"/>
        </w:rPr>
      </w:pPr>
    </w:p>
    <w:p w14:paraId="36F4E7BD" w14:textId="2F2EA8C7" w:rsidR="00AF47E3" w:rsidRDefault="00AF47E3" w:rsidP="00AF47E3">
      <w:pPr>
        <w:pStyle w:val="IEEEPrafo"/>
      </w:pPr>
      <w:r>
        <w:t>La ecuación que representa lo anterior se formula de la siguiente manera</w:t>
      </w:r>
      <w:r w:rsidR="00702907">
        <w:t xml:space="preserve"> </w:t>
      </w:r>
      <w:r w:rsidR="00702907">
        <w:fldChar w:fldCharType="begin" w:fldLock="1"/>
      </w:r>
      <w:r w:rsidR="00702907">
        <w:instrText>ADDIN CSL_CITATION {"citationItems":[{"id":"ITEM-1","itemData":{"author":[{"dropping-particle":"","family":"Carreno","given":"Oscar Mauricio","non-dropping-particle":"","parse-names":false,"suffix":""}],"id":"ITEM-1","issued":{"date-parts":[["0"]]},"page":"1-11","title":"Modelo Matemático para las tasas de toma de carga y descarga de los recursos de generación.","type":"article-journal"},"uris":["http://www.mendeley.com/documents/?uuid=224be55b-925e-4a19-aaf0-7c99f95ee6f1"]}],"mendeley":{"formattedCitation":"[12]","plainTextFormattedCitation":"[12]","previouslyFormattedCitation":"[12]"},"properties":{"noteIndex":0},"schema":"https://github.com/citation-style-language/schema/raw/master/csl-citation.json"}</w:instrText>
      </w:r>
      <w:r w:rsidR="00702907">
        <w:fldChar w:fldCharType="separate"/>
      </w:r>
      <w:r w:rsidR="00702907" w:rsidRPr="00702907">
        <w:rPr>
          <w:noProof/>
        </w:rPr>
        <w:t>[12]</w:t>
      </w:r>
      <w:r w:rsidR="00702907">
        <w:fldChar w:fldCharType="end"/>
      </w:r>
      <w:r>
        <w:t>:</w:t>
      </w:r>
    </w:p>
    <w:p w14:paraId="2C1DDFF3" w14:textId="112539EF" w:rsidR="00AF47E3" w:rsidRDefault="00AF47E3" w:rsidP="00AF47E3">
      <w:pPr>
        <w:pStyle w:val="IEEEPrafo"/>
      </w:pPr>
    </w:p>
    <w:p w14:paraId="5C2C3255" w14:textId="39A560E0" w:rsidR="00AF47E3" w:rsidRPr="00192D1B" w:rsidRDefault="000352A9" w:rsidP="00AF47E3">
      <w:pPr>
        <w:pStyle w:val="IEEEPrafo"/>
        <w:rPr>
          <w:rFonts w:eastAsiaTheme="minorEastAsia"/>
        </w:rPr>
      </w:pPr>
      <m:oMathPara>
        <m:oMath>
          <m:eqArr>
            <m:eqArrPr>
              <m:maxDist m:val="1"/>
              <m:ctrlPr>
                <w:rPr>
                  <w:rFonts w:ascii="Cambria Math" w:eastAsiaTheme="minorEastAsia" w:hAnsi="Cambria Math"/>
                  <w:i/>
                  <w:sz w:val="22"/>
                  <w:szCs w:val="22"/>
                </w:rPr>
              </m:ctrlPr>
            </m:eqArr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k</m:t>
                          </m:r>
                        </m:e>
                        <m:sub>
                          <m:r>
                            <w:rPr>
                              <w:rFonts w:ascii="Cambria Math" w:hAnsi="Cambria Math"/>
                            </w:rPr>
                            <m:t>f</m:t>
                          </m:r>
                        </m:sub>
                      </m:sSub>
                    </m:den>
                  </m:f>
                  <m:r>
                    <w:rPr>
                      <w:rFonts w:ascii="Cambria Math" w:hAnsi="Cambria Math"/>
                    </w:rPr>
                    <m:t>⋅</m:t>
                  </m:r>
                  <m:sSub>
                    <m:sSubPr>
                      <m:ctrlPr>
                        <w:rPr>
                          <w:rFonts w:ascii="Cambria Math" w:eastAsiaTheme="minorEastAsia" w:hAnsi="Cambria Math"/>
                          <w:i/>
                          <w:sz w:val="22"/>
                          <w:szCs w:val="22"/>
                        </w:rPr>
                      </m:ctrlPr>
                    </m:sSubPr>
                    <m:e>
                      <m:r>
                        <w:rPr>
                          <w:rFonts w:ascii="Cambria Math" w:eastAsiaTheme="minorEastAsia" w:hAnsi="Cambria Math"/>
                          <w:sz w:val="22"/>
                          <w:szCs w:val="22"/>
                        </w:rPr>
                        <m:t>P</m:t>
                      </m:r>
                    </m:e>
                    <m:sub>
                      <m:sSub>
                        <m:sSubPr>
                          <m:ctrlPr>
                            <w:rPr>
                              <w:rFonts w:ascii="Cambria Math" w:eastAsiaTheme="minorEastAsia" w:hAnsi="Cambria Math"/>
                              <w:i/>
                              <w:sz w:val="22"/>
                              <w:szCs w:val="22"/>
                            </w:rPr>
                          </m:ctrlPr>
                        </m:sSubPr>
                        <m:e>
                          <m:r>
                            <w:rPr>
                              <w:rFonts w:ascii="Cambria Math" w:eastAsiaTheme="minorEastAsia" w:hAnsi="Cambria Math"/>
                              <w:sz w:val="22"/>
                              <w:szCs w:val="22"/>
                            </w:rPr>
                            <m:t>g</m:t>
                          </m:r>
                        </m:e>
                        <m:sub>
                          <m:r>
                            <w:rPr>
                              <w:rFonts w:ascii="Cambria Math" w:eastAsiaTheme="minorEastAsia" w:hAnsi="Cambria Math"/>
                              <w:sz w:val="22"/>
                              <w:szCs w:val="22"/>
                            </w:rPr>
                            <m:t>i,t-1,</m:t>
                          </m:r>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f</m:t>
                              </m:r>
                            </m:sub>
                          </m:sSub>
                        </m:sub>
                      </m:sSub>
                    </m:sub>
                  </m:sSub>
                  <m:r>
                    <w:rPr>
                      <w:rFonts w:ascii="Cambria Math" w:eastAsiaTheme="minorEastAsia" w:hAnsi="Cambria Math"/>
                      <w:sz w:val="22"/>
                      <w:szCs w:val="22"/>
                    </w:rPr>
                    <m:t>+</m:t>
                  </m:r>
                  <m:f>
                    <m:fPr>
                      <m:ctrlPr>
                        <w:rPr>
                          <w:rFonts w:ascii="Cambria Math" w:eastAsiaTheme="minorEastAsia" w:hAnsi="Cambria Math"/>
                          <w:i/>
                          <w:sz w:val="22"/>
                          <w:szCs w:val="22"/>
                        </w:rPr>
                      </m:ctrlPr>
                    </m:fPr>
                    <m:num>
                      <m:r>
                        <w:rPr>
                          <w:rFonts w:ascii="Cambria Math" w:eastAsiaTheme="minorEastAsia" w:hAnsi="Cambria Math"/>
                          <w:sz w:val="22"/>
                          <w:szCs w:val="22"/>
                        </w:rPr>
                        <m:t>1</m:t>
                      </m:r>
                    </m:num>
                    <m:den>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f</m:t>
                          </m:r>
                        </m:sub>
                      </m:sSub>
                    </m:den>
                  </m:f>
                  <m:r>
                    <w:rPr>
                      <w:rFonts w:ascii="Cambria Math" w:eastAsiaTheme="minorEastAsia" w:hAnsi="Cambria Math"/>
                      <w:sz w:val="22"/>
                      <w:szCs w:val="22"/>
                    </w:rPr>
                    <m:t>⋅</m:t>
                  </m:r>
                  <m:nary>
                    <m:naryPr>
                      <m:chr m:val="∑"/>
                      <m:limLoc m:val="undOvr"/>
                      <m:ctrlPr>
                        <w:rPr>
                          <w:rFonts w:ascii="Cambria Math" w:eastAsiaTheme="minorEastAsia" w:hAnsi="Cambria Math"/>
                          <w:i/>
                          <w:sz w:val="22"/>
                          <w:szCs w:val="22"/>
                        </w:rPr>
                      </m:ctrlPr>
                    </m:naryPr>
                    <m:sub>
                      <m:r>
                        <w:rPr>
                          <w:rFonts w:ascii="Cambria Math" w:eastAsiaTheme="minorEastAsia" w:hAnsi="Cambria Math"/>
                          <w:sz w:val="22"/>
                          <w:szCs w:val="22"/>
                        </w:rPr>
                        <m:t>k=2</m:t>
                      </m:r>
                    </m:sub>
                    <m:sup>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f</m:t>
                          </m:r>
                        </m:sub>
                      </m:sSub>
                    </m:sup>
                    <m:e>
                      <m:sSub>
                        <m:sSubPr>
                          <m:ctrlPr>
                            <w:rPr>
                              <w:rFonts w:ascii="Cambria Math" w:eastAsiaTheme="minorEastAsia" w:hAnsi="Cambria Math"/>
                              <w:i/>
                              <w:sz w:val="22"/>
                              <w:szCs w:val="22"/>
                            </w:rPr>
                          </m:ctrlPr>
                        </m:sSubPr>
                        <m:e>
                          <m:r>
                            <w:rPr>
                              <w:rFonts w:ascii="Cambria Math" w:eastAsiaTheme="minorEastAsia" w:hAnsi="Cambria Math"/>
                              <w:sz w:val="22"/>
                              <w:szCs w:val="22"/>
                            </w:rPr>
                            <m:t>P</m:t>
                          </m:r>
                        </m:e>
                        <m:sub>
                          <m:sSub>
                            <m:sSubPr>
                              <m:ctrlPr>
                                <w:rPr>
                                  <w:rFonts w:ascii="Cambria Math" w:eastAsiaTheme="minorEastAsia" w:hAnsi="Cambria Math"/>
                                  <w:i/>
                                  <w:sz w:val="22"/>
                                  <w:szCs w:val="22"/>
                                </w:rPr>
                              </m:ctrlPr>
                            </m:sSubPr>
                            <m:e>
                              <m:r>
                                <w:rPr>
                                  <w:rFonts w:ascii="Cambria Math" w:eastAsiaTheme="minorEastAsia" w:hAnsi="Cambria Math"/>
                                  <w:sz w:val="22"/>
                                  <w:szCs w:val="22"/>
                                </w:rPr>
                                <m:t>g</m:t>
                              </m:r>
                            </m:e>
                            <m:sub>
                              <m:r>
                                <w:rPr>
                                  <w:rFonts w:ascii="Cambria Math" w:eastAsiaTheme="minorEastAsia" w:hAnsi="Cambria Math"/>
                                  <w:sz w:val="22"/>
                                  <w:szCs w:val="22"/>
                                </w:rPr>
                                <m:t>i,t,k-1</m:t>
                              </m:r>
                            </m:sub>
                          </m:sSub>
                        </m:sub>
                      </m:sSub>
                    </m:e>
                  </m:nary>
                  <m:ctrlPr>
                    <w:rPr>
                      <w:rFonts w:ascii="Cambria Math" w:eastAsiaTheme="minorEastAsia" w:hAnsi="Cambria Math"/>
                      <w:i/>
                      <w:sz w:val="22"/>
                      <w:szCs w:val="22"/>
                    </w:rPr>
                  </m:ctrlPr>
                </m:e>
              </m:d>
              <m:ctrlPr>
                <w:rPr>
                  <w:rFonts w:ascii="Cambria Math" w:eastAsia="Cambria Math" w:hAnsi="Cambria Math" w:cs="Cambria Math"/>
                  <w:i/>
                  <w:iCs w:val="0"/>
                </w:rPr>
              </m:ctrlPr>
            </m:e>
            <m:e>
              <m:r>
                <w:rPr>
                  <w:rFonts w:ascii="Cambria Math" w:eastAsiaTheme="minorEastAsia" w:hAnsi="Cambria Math"/>
                  <w:sz w:val="22"/>
                  <w:szCs w:val="22"/>
                </w:rPr>
                <m:t>+</m:t>
              </m:r>
              <m:d>
                <m:dPr>
                  <m:ctrlPr>
                    <w:rPr>
                      <w:rFonts w:ascii="Cambria Math" w:eastAsiaTheme="minorEastAsia" w:hAnsi="Cambria Math"/>
                      <w:i/>
                      <w:sz w:val="22"/>
                      <w:szCs w:val="22"/>
                    </w:rPr>
                  </m:ctrlPr>
                </m:dPr>
                <m:e>
                  <m:f>
                    <m:fPr>
                      <m:ctrlPr>
                        <w:rPr>
                          <w:rFonts w:ascii="Cambria Math" w:eastAsiaTheme="minorEastAsia" w:hAnsi="Cambria Math"/>
                          <w:i/>
                          <w:sz w:val="22"/>
                          <w:szCs w:val="22"/>
                        </w:rPr>
                      </m:ctrlPr>
                    </m:fPr>
                    <m:num>
                      <m:r>
                        <w:rPr>
                          <w:rFonts w:ascii="Cambria Math" w:eastAsiaTheme="minorEastAsia" w:hAnsi="Cambria Math"/>
                          <w:sz w:val="22"/>
                          <w:szCs w:val="22"/>
                        </w:rPr>
                        <m:t>1</m:t>
                      </m:r>
                    </m:num>
                    <m:den>
                      <m:r>
                        <w:rPr>
                          <w:rFonts w:ascii="Cambria Math" w:eastAsiaTheme="minorEastAsia" w:hAnsi="Cambria Math"/>
                          <w:sz w:val="22"/>
                          <w:szCs w:val="22"/>
                        </w:rPr>
                        <m:t>2</m:t>
                      </m:r>
                    </m:den>
                  </m:f>
                  <m:r>
                    <w:rPr>
                      <w:rFonts w:ascii="Cambria Math" w:eastAsiaTheme="minorEastAsia" w:hAnsi="Cambria Math"/>
                      <w:sz w:val="22"/>
                      <w:szCs w:val="22"/>
                    </w:rPr>
                    <m:t>⋅</m:t>
                  </m:r>
                  <m:f>
                    <m:fPr>
                      <m:ctrlPr>
                        <w:rPr>
                          <w:rFonts w:ascii="Cambria Math" w:eastAsiaTheme="minorEastAsia" w:hAnsi="Cambria Math"/>
                          <w:i/>
                          <w:sz w:val="22"/>
                          <w:szCs w:val="22"/>
                        </w:rPr>
                      </m:ctrlPr>
                    </m:fPr>
                    <m:num>
                      <m:r>
                        <w:rPr>
                          <w:rFonts w:ascii="Cambria Math" w:eastAsiaTheme="minorEastAsia" w:hAnsi="Cambria Math"/>
                          <w:sz w:val="22"/>
                          <w:szCs w:val="22"/>
                        </w:rPr>
                        <m:t>1</m:t>
                      </m:r>
                    </m:num>
                    <m:den>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f</m:t>
                          </m:r>
                        </m:sub>
                      </m:sSub>
                    </m:den>
                  </m:f>
                  <m:r>
                    <w:rPr>
                      <w:rFonts w:ascii="Cambria Math" w:eastAsiaTheme="minorEastAsia" w:hAnsi="Cambria Math"/>
                      <w:sz w:val="22"/>
                      <w:szCs w:val="22"/>
                    </w:rPr>
                    <m:t>⋅</m:t>
                  </m:r>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P</m:t>
                          </m:r>
                        </m:e>
                        <m:sub>
                          <m:sSub>
                            <m:sSubPr>
                              <m:ctrlPr>
                                <w:rPr>
                                  <w:rFonts w:ascii="Cambria Math" w:eastAsiaTheme="minorEastAsia" w:hAnsi="Cambria Math"/>
                                  <w:i/>
                                  <w:sz w:val="22"/>
                                  <w:szCs w:val="22"/>
                                </w:rPr>
                              </m:ctrlPr>
                            </m:sSubPr>
                            <m:e>
                              <m:r>
                                <w:rPr>
                                  <w:rFonts w:ascii="Cambria Math" w:eastAsiaTheme="minorEastAsia" w:hAnsi="Cambria Math"/>
                                  <w:sz w:val="22"/>
                                  <w:szCs w:val="22"/>
                                </w:rPr>
                                <m:t>g</m:t>
                              </m:r>
                            </m:e>
                            <m:sub>
                              <m:r>
                                <w:rPr>
                                  <w:rFonts w:ascii="Cambria Math" w:eastAsiaTheme="minorEastAsia" w:hAnsi="Cambria Math"/>
                                  <w:sz w:val="22"/>
                                  <w:szCs w:val="22"/>
                                </w:rPr>
                                <m:t>i,t,1</m:t>
                              </m:r>
                            </m:sub>
                          </m:sSub>
                        </m:sub>
                      </m:sSub>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P</m:t>
                          </m:r>
                        </m:e>
                        <m:sub>
                          <m:sSub>
                            <m:sSubPr>
                              <m:ctrlPr>
                                <w:rPr>
                                  <w:rFonts w:ascii="Cambria Math" w:eastAsiaTheme="minorEastAsia" w:hAnsi="Cambria Math"/>
                                  <w:i/>
                                  <w:sz w:val="22"/>
                                  <w:szCs w:val="22"/>
                                </w:rPr>
                              </m:ctrlPr>
                            </m:sSubPr>
                            <m:e>
                              <m:r>
                                <w:rPr>
                                  <w:rFonts w:ascii="Cambria Math" w:eastAsiaTheme="minorEastAsia" w:hAnsi="Cambria Math"/>
                                  <w:sz w:val="22"/>
                                  <w:szCs w:val="22"/>
                                </w:rPr>
                                <m:t>g</m:t>
                              </m:r>
                            </m:e>
                            <m:sub>
                              <m:r>
                                <w:rPr>
                                  <w:rFonts w:ascii="Cambria Math" w:eastAsiaTheme="minorEastAsia" w:hAnsi="Cambria Math"/>
                                  <w:sz w:val="22"/>
                                  <w:szCs w:val="22"/>
                                </w:rPr>
                                <m:t>i,t-1,</m:t>
                              </m:r>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f</m:t>
                                  </m:r>
                                </m:sub>
                              </m:sSub>
                            </m:sub>
                          </m:sSub>
                        </m:sub>
                      </m:sSub>
                    </m:e>
                  </m:d>
                  <m:r>
                    <w:rPr>
                      <w:rFonts w:ascii="Cambria Math" w:eastAsiaTheme="minorEastAsia" w:hAnsi="Cambria Math"/>
                      <w:sz w:val="22"/>
                      <w:szCs w:val="22"/>
                    </w:rPr>
                    <m:t>+</m:t>
                  </m:r>
                  <m:f>
                    <m:fPr>
                      <m:ctrlPr>
                        <w:rPr>
                          <w:rFonts w:ascii="Cambria Math" w:eastAsiaTheme="minorEastAsia" w:hAnsi="Cambria Math"/>
                          <w:i/>
                          <w:sz w:val="22"/>
                          <w:szCs w:val="22"/>
                        </w:rPr>
                      </m:ctrlPr>
                    </m:fPr>
                    <m:num>
                      <m:r>
                        <w:rPr>
                          <w:rFonts w:ascii="Cambria Math" w:eastAsiaTheme="minorEastAsia" w:hAnsi="Cambria Math"/>
                          <w:sz w:val="22"/>
                          <w:szCs w:val="22"/>
                        </w:rPr>
                        <m:t>1</m:t>
                      </m:r>
                    </m:num>
                    <m:den>
                      <m:r>
                        <w:rPr>
                          <w:rFonts w:ascii="Cambria Math" w:eastAsiaTheme="minorEastAsia" w:hAnsi="Cambria Math"/>
                          <w:sz w:val="22"/>
                          <w:szCs w:val="22"/>
                        </w:rPr>
                        <m:t>2</m:t>
                      </m:r>
                    </m:den>
                  </m:f>
                  <m:r>
                    <w:rPr>
                      <w:rFonts w:ascii="Cambria Math" w:eastAsiaTheme="minorEastAsia" w:hAnsi="Cambria Math"/>
                      <w:sz w:val="22"/>
                      <w:szCs w:val="22"/>
                    </w:rPr>
                    <m:t>⋅</m:t>
                  </m:r>
                  <m:f>
                    <m:fPr>
                      <m:ctrlPr>
                        <w:rPr>
                          <w:rFonts w:ascii="Cambria Math" w:eastAsiaTheme="minorEastAsia" w:hAnsi="Cambria Math"/>
                          <w:i/>
                          <w:sz w:val="22"/>
                          <w:szCs w:val="22"/>
                        </w:rPr>
                      </m:ctrlPr>
                    </m:fPr>
                    <m:num>
                      <m:r>
                        <w:rPr>
                          <w:rFonts w:ascii="Cambria Math" w:eastAsiaTheme="minorEastAsia" w:hAnsi="Cambria Math"/>
                          <w:sz w:val="22"/>
                          <w:szCs w:val="22"/>
                        </w:rPr>
                        <m:t>1</m:t>
                      </m:r>
                    </m:num>
                    <m:den>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f</m:t>
                          </m:r>
                        </m:sub>
                      </m:sSub>
                    </m:den>
                  </m:f>
                  <m:r>
                    <w:rPr>
                      <w:rFonts w:ascii="Cambria Math" w:eastAsiaTheme="minorEastAsia" w:hAnsi="Cambria Math"/>
                      <w:sz w:val="22"/>
                      <w:szCs w:val="22"/>
                    </w:rPr>
                    <m:t>⋅</m:t>
                  </m:r>
                  <m:nary>
                    <m:naryPr>
                      <m:chr m:val="∑"/>
                      <m:limLoc m:val="undOvr"/>
                      <m:ctrlPr>
                        <w:rPr>
                          <w:rFonts w:ascii="Cambria Math" w:eastAsiaTheme="minorEastAsia" w:hAnsi="Cambria Math"/>
                          <w:i/>
                          <w:sz w:val="22"/>
                          <w:szCs w:val="22"/>
                        </w:rPr>
                      </m:ctrlPr>
                    </m:naryPr>
                    <m:sub>
                      <m:r>
                        <w:rPr>
                          <w:rFonts w:ascii="Cambria Math" w:eastAsiaTheme="minorEastAsia" w:hAnsi="Cambria Math"/>
                          <w:sz w:val="22"/>
                          <w:szCs w:val="22"/>
                        </w:rPr>
                        <m:t>k=2</m:t>
                      </m:r>
                    </m:sub>
                    <m:sup>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f</m:t>
                          </m:r>
                        </m:sub>
                      </m:sSub>
                    </m:sup>
                    <m:e>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P</m:t>
                              </m:r>
                            </m:e>
                            <m:sub>
                              <m:sSub>
                                <m:sSubPr>
                                  <m:ctrlPr>
                                    <w:rPr>
                                      <w:rFonts w:ascii="Cambria Math" w:eastAsiaTheme="minorEastAsia" w:hAnsi="Cambria Math"/>
                                      <w:i/>
                                      <w:sz w:val="22"/>
                                      <w:szCs w:val="22"/>
                                    </w:rPr>
                                  </m:ctrlPr>
                                </m:sSubPr>
                                <m:e>
                                  <m:r>
                                    <w:rPr>
                                      <w:rFonts w:ascii="Cambria Math" w:eastAsiaTheme="minorEastAsia" w:hAnsi="Cambria Math"/>
                                      <w:sz w:val="22"/>
                                      <w:szCs w:val="22"/>
                                    </w:rPr>
                                    <m:t>g</m:t>
                                  </m:r>
                                </m:e>
                                <m:sub>
                                  <m:r>
                                    <w:rPr>
                                      <w:rFonts w:ascii="Cambria Math" w:eastAsiaTheme="minorEastAsia" w:hAnsi="Cambria Math"/>
                                      <w:sz w:val="22"/>
                                      <w:szCs w:val="22"/>
                                    </w:rPr>
                                    <m:t>i,t,k</m:t>
                                  </m:r>
                                </m:sub>
                              </m:sSub>
                            </m:sub>
                          </m:sSub>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P</m:t>
                              </m:r>
                            </m:e>
                            <m:sub>
                              <m:sSub>
                                <m:sSubPr>
                                  <m:ctrlPr>
                                    <w:rPr>
                                      <w:rFonts w:ascii="Cambria Math" w:eastAsiaTheme="minorEastAsia" w:hAnsi="Cambria Math"/>
                                      <w:i/>
                                      <w:sz w:val="22"/>
                                      <w:szCs w:val="22"/>
                                    </w:rPr>
                                  </m:ctrlPr>
                                </m:sSubPr>
                                <m:e>
                                  <m:r>
                                    <w:rPr>
                                      <w:rFonts w:ascii="Cambria Math" w:eastAsiaTheme="minorEastAsia" w:hAnsi="Cambria Math"/>
                                      <w:sz w:val="22"/>
                                      <w:szCs w:val="22"/>
                                    </w:rPr>
                                    <m:t>g</m:t>
                                  </m:r>
                                </m:e>
                                <m:sub>
                                  <m:r>
                                    <w:rPr>
                                      <w:rFonts w:ascii="Cambria Math" w:eastAsiaTheme="minorEastAsia" w:hAnsi="Cambria Math"/>
                                      <w:sz w:val="22"/>
                                      <w:szCs w:val="22"/>
                                    </w:rPr>
                                    <m:t>i,t,k-1</m:t>
                                  </m:r>
                                </m:sub>
                              </m:sSub>
                            </m:sub>
                          </m:sSub>
                        </m:e>
                      </m:d>
                    </m:e>
                  </m:nary>
                </m:e>
              </m:d>
              <m:ctrlPr>
                <w:rPr>
                  <w:rFonts w:ascii="Cambria Math" w:eastAsia="Cambria Math" w:hAnsi="Cambria Math" w:cs="Cambria Math"/>
                  <w:i/>
                  <w:iCs w:val="0"/>
                </w:rPr>
              </m:ctrlPr>
            </m:e>
            <m:e>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g</m:t>
                  </m:r>
                </m:e>
                <m:sub>
                  <m:r>
                    <w:rPr>
                      <w:rFonts w:ascii="Cambria Math" w:eastAsiaTheme="minorEastAsia" w:hAnsi="Cambria Math"/>
                      <w:sz w:val="22"/>
                      <w:szCs w:val="22"/>
                    </w:rPr>
                    <m:t>i,t</m:t>
                  </m:r>
                </m:sub>
              </m:sSub>
              <m:r>
                <w:rPr>
                  <w:rFonts w:ascii="Cambria Math" w:eastAsiaTheme="minorEastAsia" w:hAnsi="Cambria Math"/>
                  <w:sz w:val="22"/>
                  <w:szCs w:val="22"/>
                </w:rPr>
                <m:t xml:space="preserve"> </m:t>
              </m:r>
              <m:r>
                <w:rPr>
                  <w:rFonts w:ascii="Cambria Math" w:hAnsi="Cambria Math"/>
                </w:rPr>
                <m:t>#</m:t>
              </m:r>
              <m:d>
                <m:dPr>
                  <m:ctrlPr>
                    <w:rPr>
                      <w:rFonts w:ascii="Cambria Math" w:eastAsiaTheme="minorEastAsia" w:hAnsi="Cambria Math"/>
                      <w:i/>
                      <w:sz w:val="22"/>
                      <w:szCs w:val="22"/>
                    </w:rPr>
                  </m:ctrlPr>
                </m:dPr>
                <m:e>
                  <m:r>
                    <w:rPr>
                      <w:rFonts w:ascii="Cambria Math" w:eastAsiaTheme="minorEastAsia" w:hAnsi="Cambria Math"/>
                      <w:sz w:val="22"/>
                      <w:szCs w:val="22"/>
                    </w:rPr>
                    <m:t>14</m:t>
                  </m:r>
                </m:e>
              </m:d>
              <m:ctrlPr>
                <w:rPr>
                  <w:rFonts w:ascii="Cambria Math" w:hAnsi="Cambria Math"/>
                  <w:i/>
                </w:rPr>
              </m:ctrlPr>
            </m:e>
          </m:eqArr>
        </m:oMath>
      </m:oMathPara>
    </w:p>
    <w:p w14:paraId="49859FFA" w14:textId="1D32565F" w:rsidR="00192D1B" w:rsidRDefault="00192D1B" w:rsidP="00AF47E3">
      <w:pPr>
        <w:pStyle w:val="IEEEPrafo"/>
        <w:rPr>
          <w:rFonts w:eastAsiaTheme="minorEastAsia"/>
        </w:rPr>
      </w:pPr>
    </w:p>
    <w:p w14:paraId="2F284298" w14:textId="534AF2E9" w:rsidR="00192D1B" w:rsidRDefault="00192D1B" w:rsidP="00AF47E3">
      <w:pPr>
        <w:pStyle w:val="IEEEPrafo"/>
        <w:rPr>
          <w:rFonts w:eastAsiaTheme="minorEastAsia"/>
        </w:rPr>
      </w:pPr>
      <w:r>
        <w:rPr>
          <w:rFonts w:eastAsiaTheme="minorEastAsia"/>
        </w:rPr>
        <w:t>Reordenando la ecuación (14), se obtiene la siguiente ecuación</w:t>
      </w:r>
      <w:r w:rsidR="00F30AAE">
        <w:rPr>
          <w:rFonts w:eastAsiaTheme="minorEastAsia"/>
        </w:rPr>
        <w:t>:</w:t>
      </w:r>
    </w:p>
    <w:p w14:paraId="7D55ACC2" w14:textId="600A8FF8" w:rsidR="00F30AAE" w:rsidRPr="000467FF" w:rsidRDefault="000352A9" w:rsidP="00AF47E3">
      <w:pPr>
        <w:pStyle w:val="IEEEPrafo"/>
        <w:rPr>
          <w:rFonts w:eastAsiaTheme="minorEastAsia"/>
          <w:sz w:val="22"/>
          <w:szCs w:val="22"/>
        </w:rPr>
      </w:pPr>
      <m:oMathPara>
        <m:oMath>
          <m:eqArr>
            <m:eqArrPr>
              <m:maxDist m:val="1"/>
              <m:ctrlPr>
                <w:rPr>
                  <w:rFonts w:ascii="Cambria Math" w:eastAsiaTheme="minorEastAsia" w:hAnsi="Cambria Math"/>
                  <w:i/>
                  <w:sz w:val="22"/>
                  <w:szCs w:val="22"/>
                </w:rPr>
              </m:ctrlPr>
            </m:eqArrPr>
            <m:e>
              <m:sSub>
                <m:sSubPr>
                  <m:ctrlPr>
                    <w:rPr>
                      <w:rFonts w:ascii="Cambria Math" w:eastAsiaTheme="minorEastAsia" w:hAnsi="Cambria Math"/>
                      <w:i/>
                      <w:sz w:val="22"/>
                      <w:szCs w:val="22"/>
                    </w:rPr>
                  </m:ctrlPr>
                </m:sSubPr>
                <m:e>
                  <m:r>
                    <w:rPr>
                      <w:rFonts w:ascii="Cambria Math" w:eastAsiaTheme="minorEastAsia" w:hAnsi="Cambria Math"/>
                      <w:sz w:val="22"/>
                      <w:szCs w:val="22"/>
                    </w:rPr>
                    <m:t>P</m:t>
                  </m:r>
                </m:e>
                <m:sub>
                  <m:sSub>
                    <m:sSubPr>
                      <m:ctrlPr>
                        <w:rPr>
                          <w:rFonts w:ascii="Cambria Math" w:eastAsiaTheme="minorEastAsia" w:hAnsi="Cambria Math"/>
                          <w:i/>
                          <w:sz w:val="22"/>
                          <w:szCs w:val="22"/>
                        </w:rPr>
                      </m:ctrlPr>
                    </m:sSubPr>
                    <m:e>
                      <m:r>
                        <w:rPr>
                          <w:rFonts w:ascii="Cambria Math" w:eastAsiaTheme="minorEastAsia" w:hAnsi="Cambria Math"/>
                          <w:sz w:val="22"/>
                          <w:szCs w:val="22"/>
                        </w:rPr>
                        <m:t>g</m:t>
                      </m:r>
                    </m:e>
                    <m:sub>
                      <m:r>
                        <w:rPr>
                          <w:rFonts w:ascii="Cambria Math" w:eastAsiaTheme="minorEastAsia" w:hAnsi="Cambria Math"/>
                          <w:sz w:val="22"/>
                          <w:szCs w:val="22"/>
                        </w:rPr>
                        <m:t>i,t-1,</m:t>
                      </m:r>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f</m:t>
                          </m:r>
                        </m:sub>
                      </m:sSub>
                    </m:sub>
                  </m:sSub>
                </m:sub>
              </m:sSub>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P</m:t>
                  </m:r>
                </m:e>
                <m:sub>
                  <m:sSub>
                    <m:sSubPr>
                      <m:ctrlPr>
                        <w:rPr>
                          <w:rFonts w:ascii="Cambria Math" w:eastAsiaTheme="minorEastAsia" w:hAnsi="Cambria Math"/>
                          <w:i/>
                          <w:sz w:val="22"/>
                          <w:szCs w:val="22"/>
                        </w:rPr>
                      </m:ctrlPr>
                    </m:sSubPr>
                    <m:e>
                      <m:r>
                        <w:rPr>
                          <w:rFonts w:ascii="Cambria Math" w:eastAsiaTheme="minorEastAsia" w:hAnsi="Cambria Math"/>
                          <w:sz w:val="22"/>
                          <w:szCs w:val="22"/>
                        </w:rPr>
                        <m:t>g</m:t>
                      </m:r>
                    </m:e>
                    <m:sub>
                      <m:r>
                        <w:rPr>
                          <w:rFonts w:ascii="Cambria Math" w:eastAsiaTheme="minorEastAsia" w:hAnsi="Cambria Math"/>
                          <w:sz w:val="22"/>
                          <w:szCs w:val="22"/>
                        </w:rPr>
                        <m:t>i,t,</m:t>
                      </m:r>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f</m:t>
                          </m:r>
                        </m:sub>
                      </m:sSub>
                    </m:sub>
                  </m:sSub>
                </m:sub>
              </m:sSub>
              <m:r>
                <w:rPr>
                  <w:rFonts w:ascii="Cambria Math" w:eastAsiaTheme="minorEastAsia" w:hAnsi="Cambria Math"/>
                  <w:sz w:val="22"/>
                  <w:szCs w:val="22"/>
                </w:rPr>
                <m:t>+2⋅</m:t>
              </m:r>
              <m:nary>
                <m:naryPr>
                  <m:chr m:val="∑"/>
                  <m:limLoc m:val="undOvr"/>
                  <m:ctrlPr>
                    <w:rPr>
                      <w:rFonts w:ascii="Cambria Math" w:eastAsiaTheme="minorEastAsia" w:hAnsi="Cambria Math"/>
                      <w:i/>
                      <w:sz w:val="22"/>
                      <w:szCs w:val="22"/>
                    </w:rPr>
                  </m:ctrlPr>
                </m:naryPr>
                <m:sub>
                  <m:r>
                    <w:rPr>
                      <w:rFonts w:ascii="Cambria Math" w:eastAsiaTheme="minorEastAsia" w:hAnsi="Cambria Math"/>
                      <w:sz w:val="22"/>
                      <w:szCs w:val="22"/>
                    </w:rPr>
                    <m:t>k=1</m:t>
                  </m:r>
                </m:sub>
                <m:sup>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f</m:t>
                      </m:r>
                    </m:sub>
                  </m:sSub>
                  <m:r>
                    <w:rPr>
                      <w:rFonts w:ascii="Cambria Math" w:eastAsiaTheme="minorEastAsia" w:hAnsi="Cambria Math"/>
                      <w:sz w:val="22"/>
                      <w:szCs w:val="22"/>
                    </w:rPr>
                    <m:t>-1</m:t>
                  </m:r>
                </m:sup>
                <m:e>
                  <m:sSub>
                    <m:sSubPr>
                      <m:ctrlPr>
                        <w:rPr>
                          <w:rFonts w:ascii="Cambria Math" w:eastAsiaTheme="minorEastAsia" w:hAnsi="Cambria Math"/>
                          <w:i/>
                          <w:sz w:val="22"/>
                          <w:szCs w:val="22"/>
                        </w:rPr>
                      </m:ctrlPr>
                    </m:sSubPr>
                    <m:e>
                      <m:r>
                        <w:rPr>
                          <w:rFonts w:ascii="Cambria Math" w:eastAsiaTheme="minorEastAsia" w:hAnsi="Cambria Math"/>
                          <w:sz w:val="22"/>
                          <w:szCs w:val="22"/>
                        </w:rPr>
                        <m:t>P</m:t>
                      </m:r>
                    </m:e>
                    <m:sub>
                      <m:sSub>
                        <m:sSubPr>
                          <m:ctrlPr>
                            <w:rPr>
                              <w:rFonts w:ascii="Cambria Math" w:eastAsiaTheme="minorEastAsia" w:hAnsi="Cambria Math"/>
                              <w:i/>
                              <w:sz w:val="22"/>
                              <w:szCs w:val="22"/>
                            </w:rPr>
                          </m:ctrlPr>
                        </m:sSubPr>
                        <m:e>
                          <m:r>
                            <w:rPr>
                              <w:rFonts w:ascii="Cambria Math" w:eastAsiaTheme="minorEastAsia" w:hAnsi="Cambria Math"/>
                              <w:sz w:val="22"/>
                              <w:szCs w:val="22"/>
                            </w:rPr>
                            <m:t>g</m:t>
                          </m:r>
                        </m:e>
                        <m:sub>
                          <m:r>
                            <w:rPr>
                              <w:rFonts w:ascii="Cambria Math" w:eastAsiaTheme="minorEastAsia" w:hAnsi="Cambria Math"/>
                              <w:sz w:val="22"/>
                              <w:szCs w:val="22"/>
                            </w:rPr>
                            <m:t>i,t,k</m:t>
                          </m:r>
                        </m:sub>
                      </m:sSub>
                    </m:sub>
                  </m:sSub>
                </m:e>
              </m:nary>
              <m:r>
                <w:rPr>
                  <w:rFonts w:ascii="Cambria Math" w:eastAsiaTheme="minorEastAsia" w:hAnsi="Cambria Math"/>
                  <w:sz w:val="22"/>
                  <w:szCs w:val="22"/>
                </w:rPr>
                <m:t>=2⋅</m:t>
              </m:r>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f</m:t>
                  </m:r>
                </m:sub>
              </m:sSub>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g</m:t>
                  </m:r>
                </m:e>
                <m:sub>
                  <m:r>
                    <w:rPr>
                      <w:rFonts w:ascii="Cambria Math" w:eastAsiaTheme="minorEastAsia" w:hAnsi="Cambria Math"/>
                      <w:sz w:val="22"/>
                      <w:szCs w:val="22"/>
                    </w:rPr>
                    <m:t>i,t</m:t>
                  </m:r>
                </m:sub>
              </m:sSub>
              <m:r>
                <w:rPr>
                  <w:rFonts w:ascii="Cambria Math" w:eastAsiaTheme="minorEastAsia" w:hAnsi="Cambria Math"/>
                  <w:sz w:val="22"/>
                  <w:szCs w:val="22"/>
                </w:rPr>
                <m:t xml:space="preserve"> ;∀i,∀t #</m:t>
              </m:r>
              <m:d>
                <m:dPr>
                  <m:ctrlPr>
                    <w:rPr>
                      <w:rFonts w:ascii="Cambria Math" w:eastAsiaTheme="minorEastAsia" w:hAnsi="Cambria Math"/>
                      <w:i/>
                      <w:sz w:val="22"/>
                      <w:szCs w:val="22"/>
                    </w:rPr>
                  </m:ctrlPr>
                </m:dPr>
                <m:e>
                  <m:r>
                    <w:rPr>
                      <w:rFonts w:ascii="Cambria Math" w:eastAsiaTheme="minorEastAsia" w:hAnsi="Cambria Math"/>
                      <w:sz w:val="22"/>
                      <w:szCs w:val="22"/>
                    </w:rPr>
                    <m:t>15</m:t>
                  </m:r>
                </m:e>
              </m:d>
            </m:e>
          </m:eqArr>
        </m:oMath>
      </m:oMathPara>
    </w:p>
    <w:p w14:paraId="77E7DC53" w14:textId="558FF564" w:rsidR="000467FF" w:rsidRDefault="000467FF" w:rsidP="00AF47E3">
      <w:pPr>
        <w:pStyle w:val="IEEEPrafo"/>
        <w:rPr>
          <w:rFonts w:eastAsiaTheme="minorEastAsia"/>
        </w:rPr>
      </w:pPr>
    </w:p>
    <w:p w14:paraId="0EC5F0A5" w14:textId="28602D93" w:rsidR="00702907" w:rsidRPr="000467FF" w:rsidRDefault="00702907" w:rsidP="00AF47E3">
      <w:pPr>
        <w:pStyle w:val="IEEEPrafo"/>
        <w:rPr>
          <w:rFonts w:eastAsiaTheme="minorEastAsia"/>
        </w:rPr>
      </w:pPr>
      <w:r>
        <w:rPr>
          <w:rFonts w:eastAsiaTheme="minorEastAsia"/>
        </w:rPr>
        <w:t>Cabe destacar que la modelación matemática del presente artículo solo tiene en cuenta un solo valor declarado de velocidad de toma de carga y descarga.</w:t>
      </w:r>
    </w:p>
    <w:p w14:paraId="783B8CD8" w14:textId="77777777" w:rsidR="000D1B39" w:rsidRPr="000467FF" w:rsidRDefault="000D1B39" w:rsidP="00AF47E3">
      <w:pPr>
        <w:pStyle w:val="IEEEPrafo"/>
        <w:rPr>
          <w:u w:val="single"/>
        </w:rPr>
      </w:pPr>
    </w:p>
    <w:p w14:paraId="4C21BB32" w14:textId="54D3F57D" w:rsidR="00776708" w:rsidRPr="00776708" w:rsidRDefault="000352A9" w:rsidP="000D6AB9">
      <w:pPr>
        <w:pStyle w:val="IEEEPrafo"/>
        <w:rPr>
          <w:rFonts w:ascii="Cambria Math" w:eastAsia="Cambria Math" w:hAnsi="Cambria Math" w:cs="Cambria Math"/>
        </w:rPr>
      </w:pPr>
      <m:oMathPara>
        <m:oMath>
          <m:eqArr>
            <m:eqArrPr>
              <m:maxDist m:val="1"/>
              <m:ctrlPr>
                <w:rPr>
                  <w:rFonts w:ascii="Cambria Math" w:eastAsia="Cambria Math" w:hAnsi="Cambria Math" w:cs="Cambria Math"/>
                  <w:i/>
                </w:rPr>
              </m:ctrlPr>
            </m:eqArrPr>
            <m:e>
              <m:nary>
                <m:naryPr>
                  <m:chr m:val="∑"/>
                  <m:ctrlPr>
                    <w:rPr>
                      <w:rFonts w:ascii="Cambria Math" w:eastAsia="Cambria Math" w:hAnsi="Cambria Math" w:cs="Cambria Math"/>
                    </w:rPr>
                  </m:ctrlPr>
                </m:naryPr>
                <m:sub>
                  <m:r>
                    <w:rPr>
                      <w:rFonts w:ascii="Cambria Math" w:eastAsia="Cambria Math" w:hAnsi="Cambria Math" w:cs="Cambria Math"/>
                    </w:rPr>
                    <m:t>k=t-TML+1</m:t>
                  </m:r>
                </m:sub>
                <m:sup>
                  <m:r>
                    <w:rPr>
                      <w:rFonts w:ascii="Cambria Math" w:eastAsia="Cambria Math" w:hAnsi="Cambria Math" w:cs="Cambria Math"/>
                    </w:rPr>
                    <m:t>t</m:t>
                  </m:r>
                </m:sup>
                <m:e>
                  <m:sSub>
                    <m:sSubPr>
                      <m:ctrlPr>
                        <w:rPr>
                          <w:rFonts w:ascii="Cambria Math" w:eastAsia="Cambria Math" w:hAnsi="Cambria Math" w:cs="Cambria Math"/>
                        </w:rPr>
                      </m:ctrlPr>
                    </m:sSubPr>
                    <m:e>
                      <m:r>
                        <w:rPr>
                          <w:rFonts w:ascii="Cambria Math" w:eastAsia="Cambria Math" w:hAnsi="Cambria Math" w:cs="Cambria Math"/>
                        </w:rPr>
                        <m:t>a</m:t>
                      </m:r>
                    </m:e>
                    <m:sub>
                      <m:r>
                        <w:rPr>
                          <w:rFonts w:ascii="Cambria Math" w:eastAsia="Cambria Math" w:hAnsi="Cambria Math" w:cs="Cambria Math"/>
                        </w:rPr>
                        <m:t>i,k</m:t>
                      </m:r>
                    </m:sub>
                  </m:sSub>
                </m:e>
              </m:nary>
              <m:r>
                <w:rPr>
                  <w:rFonts w:ascii="Cambria Math" w:eastAsia="Cambria Math" w:hAnsi="Cambria Math" w:cs="Cambria Math"/>
                </w:rPr>
                <m:t xml:space="preserve"> ≤ </m:t>
              </m:r>
              <m:sSub>
                <m:sSubPr>
                  <m:ctrlPr>
                    <w:rPr>
                      <w:rFonts w:ascii="Cambria Math" w:eastAsia="Cambria Math" w:hAnsi="Cambria Math" w:cs="Cambria Math"/>
                    </w:rPr>
                  </m:ctrlPr>
                </m:sSubPr>
                <m:e>
                  <m:r>
                    <w:rPr>
                      <w:rFonts w:ascii="Cambria Math" w:eastAsia="Cambria Math" w:hAnsi="Cambria Math" w:cs="Cambria Math"/>
                    </w:rPr>
                    <m:t>u</m:t>
                  </m:r>
                </m:e>
                <m:sub>
                  <m:r>
                    <w:rPr>
                      <w:rFonts w:ascii="Cambria Math" w:eastAsia="Cambria Math" w:hAnsi="Cambria Math" w:cs="Cambria Math"/>
                    </w:rPr>
                    <m:t>i,t</m:t>
                  </m:r>
                </m:sub>
              </m:sSub>
              <m:r>
                <w:rPr>
                  <w:rFonts w:ascii="Cambria Math" w:eastAsia="Cambria Math" w:hAnsi="Cambria Math" w:cs="Cambria Math"/>
                </w:rPr>
                <m:t xml:space="preserve">; </m:t>
              </m:r>
              <m:sSub>
                <m:sSubPr>
                  <m:ctrlPr>
                    <w:rPr>
                      <w:rFonts w:ascii="Cambria Math" w:eastAsia="Cambria Math" w:hAnsi="Cambria Math" w:cs="Cambria Math"/>
                    </w:rPr>
                  </m:ctrlPr>
                </m:sSubPr>
                <m:e>
                  <m:r>
                    <w:rPr>
                      <w:rFonts w:ascii="Cambria Math" w:eastAsia="Cambria Math" w:hAnsi="Cambria Math" w:cs="Cambria Math"/>
                    </w:rPr>
                    <m:t>∀</m:t>
                  </m:r>
                </m:e>
                <m:sub>
                  <m:r>
                    <w:rPr>
                      <w:rFonts w:ascii="Cambria Math" w:eastAsia="Cambria Math" w:hAnsi="Cambria Math" w:cs="Cambria Math"/>
                    </w:rPr>
                    <m:t>i,t∈</m:t>
                  </m:r>
                  <m:d>
                    <m:dPr>
                      <m:begChr m:val="["/>
                      <m:endChr m:val="]"/>
                      <m:ctrlPr>
                        <w:rPr>
                          <w:rFonts w:ascii="Cambria Math" w:eastAsia="Cambria Math" w:hAnsi="Cambria Math" w:cs="Cambria Math"/>
                        </w:rPr>
                      </m:ctrlPr>
                    </m:dPr>
                    <m:e>
                      <m:r>
                        <w:rPr>
                          <w:rFonts w:ascii="Cambria Math" w:eastAsia="Cambria Math" w:hAnsi="Cambria Math" w:cs="Cambria Math"/>
                        </w:rPr>
                        <m:t>TML,24</m:t>
                      </m:r>
                    </m:e>
                  </m:d>
                </m:sub>
              </m:sSub>
              <m:r>
                <w:rPr>
                  <w:rFonts w:ascii="Cambria Math" w:eastAsia="Cambria Math" w:hAnsi="Cambria Math" w:cs="Cambria Math"/>
                </w:rPr>
                <m:t xml:space="preserve">   #</m:t>
              </m:r>
              <m:d>
                <m:dPr>
                  <m:ctrlPr>
                    <w:rPr>
                      <w:rFonts w:ascii="Cambria Math" w:eastAsia="Cambria Math" w:hAnsi="Cambria Math" w:cs="Cambria Math"/>
                    </w:rPr>
                  </m:ctrlPr>
                </m:dPr>
                <m:e>
                  <m:r>
                    <w:rPr>
                      <w:rFonts w:ascii="Cambria Math" w:eastAsia="Cambria Math" w:hAnsi="Cambria Math" w:cs="Cambria Math"/>
                    </w:rPr>
                    <m:t>16</m:t>
                  </m:r>
                </m:e>
              </m:d>
            </m:e>
          </m:eqArr>
        </m:oMath>
      </m:oMathPara>
    </w:p>
    <w:p w14:paraId="27E79A62" w14:textId="77777777" w:rsidR="00742320" w:rsidRDefault="00742320" w:rsidP="000D6AB9">
      <w:pPr>
        <w:pStyle w:val="IEEEPrafo"/>
      </w:pPr>
    </w:p>
    <w:p w14:paraId="33D388DD" w14:textId="17A0DD24" w:rsidR="00742320" w:rsidRDefault="00742320" w:rsidP="000D6AB9">
      <w:pPr>
        <w:pStyle w:val="IEEEPrafo"/>
      </w:pPr>
      <w:r>
        <w:t>Se emplea la restricción de tiempo en línea (</w:t>
      </w:r>
      <w:r w:rsidR="00702907">
        <w:t>16</w:t>
      </w:r>
      <w:r>
        <w:t>), la cual recorre los recursos que poseen rampas</w:t>
      </w:r>
      <w:r w:rsidR="00702907">
        <w:t>.</w:t>
      </w:r>
      <w:r>
        <w:t xml:space="preserve"> </w:t>
      </w:r>
      <w:r>
        <w:rPr>
          <w:i/>
        </w:rPr>
        <w:t>TML</w:t>
      </w:r>
      <w:r>
        <w:t xml:space="preserve"> es el «tiempo mínimo en línea», el índice </w:t>
      </w:r>
      <w:r>
        <w:rPr>
          <w:i/>
        </w:rPr>
        <w:t>i</w:t>
      </w:r>
      <w:r>
        <w:t xml:space="preserve"> es la planta de generación térmica y la variable </w:t>
      </w:r>
      <w:r>
        <w:rPr>
          <w:i/>
        </w:rPr>
        <w:t>t</w:t>
      </w:r>
      <w:r>
        <w:t xml:space="preserve">, la cual comienza desde el tiempo mínimo en línea hasta </w:t>
      </w:r>
      <w:r w:rsidR="00000CB8">
        <w:t>la hora</w:t>
      </w:r>
      <w:r>
        <w:t xml:space="preserve"> 24</w:t>
      </w:r>
      <w:r w:rsidR="00000CB8">
        <w:t xml:space="preserve"> (el número del período de esta hora dependerá de la granularidad elegida para el despacho </w:t>
      </w:r>
      <w:proofErr w:type="spellStart"/>
      <w:r w:rsidR="00000CB8">
        <w:t>intrahorario</w:t>
      </w:r>
      <w:proofErr w:type="spellEnd"/>
      <w:r w:rsidR="00000CB8">
        <w:t>)</w:t>
      </w:r>
      <w:r w:rsidR="00702907">
        <w:t>.</w:t>
      </w:r>
      <w:r w:rsidR="00CE2D3E">
        <w:t xml:space="preserve"> </w:t>
      </w:r>
      <w:r>
        <w:t xml:space="preserve">Se agrega otro subíndice dependiendo del valor de </w:t>
      </w:r>
      <w:r>
        <w:rPr>
          <w:i/>
        </w:rPr>
        <w:t>t</w:t>
      </w:r>
      <w:r>
        <w:t>, así se tiene el tiempo mínimo en línea que se debe tener encendida la planta</w:t>
      </w:r>
      <w:r w:rsidR="00A87523">
        <w:t xml:space="preserve"> térmica</w:t>
      </w:r>
      <w:r w:rsidR="00000CB8">
        <w:t xml:space="preserve"> </w:t>
      </w:r>
      <w:r w:rsidR="00000CB8">
        <w:fldChar w:fldCharType="begin" w:fldLock="1"/>
      </w:r>
      <w:r w:rsidR="00000CB8">
        <w:instrText>ADDIN CSL_CITATION {"citationItems":[{"id":"ITEM-1","itemData":{"author":[{"dropping-particle":"","family":"Valenzuela Hernández","given":"Juan Guillermo","non-dropping-particle":"","parse-names":false,"suffix":""}],"id":"ITEM-1","issued":{"date-parts":[["2015","6"]]},"publisher":"Universidad Tecnológica de Pereira","publisher-place":"Pereira","title":"Desarrollo de un modelo de programación óptima de unidades de generación de energía eléctrica para el sistema eléctrico colombiano.","type":"thesis"},"uris":["http://www.mendeley.com/documents/?uuid=52cc619c-bc60-3421-af40-331b975fca32"]},{"id":"ITEM-2","itemData":{"author":[{"dropping-particle":"","family":"Carreno","given":"Oscar Mauricio","non-dropping-particle":"","parse-names":false,"suffix":""}],"id":"ITEM-2","issued":{"date-parts":[["0"]]},"page":"1-11","title":"Modelo Matemático para las tasas de toma de carga y descarga de los recursos de generación.","type":"article-journal"},"uris":["http://www.mendeley.com/documents/?uuid=224be55b-925e-4a19-aaf0-7c99f95ee6f1"]}],"mendeley":{"formattedCitation":"[10], [12]","plainTextFormattedCitation":"[10], [12]","previouslyFormattedCitation":"[10], [12]"},"properties":{"noteIndex":0},"schema":"https://github.com/citation-style-language/schema/raw/master/csl-citation.json"}</w:instrText>
      </w:r>
      <w:r w:rsidR="00000CB8">
        <w:fldChar w:fldCharType="separate"/>
      </w:r>
      <w:r w:rsidR="00000CB8" w:rsidRPr="00000CB8">
        <w:rPr>
          <w:noProof/>
        </w:rPr>
        <w:t>[10], [12]</w:t>
      </w:r>
      <w:r w:rsidR="00000CB8">
        <w:fldChar w:fldCharType="end"/>
      </w:r>
      <w:r>
        <w:t>.</w:t>
      </w:r>
    </w:p>
    <w:p w14:paraId="55364FCA" w14:textId="77777777" w:rsidR="00742320" w:rsidRDefault="00742320" w:rsidP="000D6AB9">
      <w:pPr>
        <w:pStyle w:val="IEEEPrafo"/>
      </w:pPr>
    </w:p>
    <w:p w14:paraId="208FDAAA" w14:textId="77777777" w:rsidR="00AA5528" w:rsidRDefault="00AA5528" w:rsidP="000D6AB9">
      <w:pPr>
        <w:pStyle w:val="IEEEPrafo"/>
        <w:rPr>
          <w:rFonts w:ascii="Cambria Math" w:eastAsia="Cambria Math" w:hAnsi="Cambria Math" w:cs="Cambria Math"/>
          <w:oMath/>
        </w:rPr>
        <w:sectPr w:rsidR="00AA5528" w:rsidSect="002D65E4">
          <w:type w:val="continuous"/>
          <w:pgSz w:w="12240" w:h="15840" w:code="1"/>
          <w:pgMar w:top="1009" w:right="936" w:bottom="1134" w:left="936" w:header="431" w:footer="431" w:gutter="0"/>
          <w:cols w:num="2" w:space="284"/>
          <w:docGrid w:linePitch="360"/>
        </w:sectPr>
      </w:pPr>
    </w:p>
    <w:p w14:paraId="2BEC0987" w14:textId="4CA7AC2D" w:rsidR="00776708" w:rsidRPr="00776708" w:rsidRDefault="000352A9" w:rsidP="000D6AB9">
      <w:pPr>
        <w:pStyle w:val="IEEEPrafo"/>
        <w:rPr>
          <w:rFonts w:eastAsiaTheme="minorEastAsia"/>
        </w:rPr>
      </w:pPr>
      <m:oMathPara>
        <m:oMath>
          <m:eqArr>
            <m:eqArrPr>
              <m:maxDist m:val="1"/>
              <m:ctrlPr>
                <w:rPr>
                  <w:rFonts w:ascii="Cambria Math" w:eastAsia="Cambria Math" w:hAnsi="Cambria Math" w:cs="Cambria Math"/>
                  <w:i/>
                </w:rPr>
              </m:ctrlPr>
            </m:eqArrPr>
            <m:e>
              <m:nary>
                <m:naryPr>
                  <m:chr m:val="∑"/>
                  <m:ctrlPr>
                    <w:rPr>
                      <w:rFonts w:ascii="Cambria Math" w:eastAsia="Cambria Math" w:hAnsi="Cambria Math" w:cs="Cambria Math"/>
                    </w:rPr>
                  </m:ctrlPr>
                </m:naryPr>
                <m:sub>
                  <m:r>
                    <w:rPr>
                      <w:rFonts w:ascii="Cambria Math" w:eastAsia="Cambria Math" w:hAnsi="Cambria Math" w:cs="Cambria Math"/>
                    </w:rPr>
                    <m:t>k=t-TMFL+1</m:t>
                  </m:r>
                </m:sub>
                <m:sup>
                  <m:r>
                    <w:rPr>
                      <w:rFonts w:ascii="Cambria Math" w:eastAsia="Cambria Math" w:hAnsi="Cambria Math" w:cs="Cambria Math"/>
                    </w:rPr>
                    <m:t>t</m:t>
                  </m:r>
                </m:sup>
                <m:e>
                  <m:sSub>
                    <m:sSubPr>
                      <m:ctrlPr>
                        <w:rPr>
                          <w:rFonts w:ascii="Cambria Math" w:eastAsia="Cambria Math" w:hAnsi="Cambria Math" w:cs="Cambria Math"/>
                        </w:rPr>
                      </m:ctrlPr>
                    </m:sSubPr>
                    <m:e>
                      <m:r>
                        <w:rPr>
                          <w:rFonts w:ascii="Cambria Math" w:eastAsia="Cambria Math" w:hAnsi="Cambria Math" w:cs="Cambria Math"/>
                        </w:rPr>
                        <m:t>p</m:t>
                      </m:r>
                    </m:e>
                    <m:sub>
                      <m:r>
                        <w:rPr>
                          <w:rFonts w:ascii="Cambria Math" w:eastAsia="Cambria Math" w:hAnsi="Cambria Math" w:cs="Cambria Math"/>
                        </w:rPr>
                        <m:t>i,k</m:t>
                      </m:r>
                    </m:sub>
                  </m:sSub>
                </m:e>
              </m:nary>
              <m:r>
                <w:rPr>
                  <w:rFonts w:ascii="Cambria Math" w:eastAsia="Cambria Math" w:hAnsi="Cambria Math" w:cs="Cambria Math"/>
                </w:rPr>
                <m:t xml:space="preserve"> ≤1-</m:t>
              </m:r>
              <m:sSub>
                <m:sSubPr>
                  <m:ctrlPr>
                    <w:rPr>
                      <w:rFonts w:ascii="Cambria Math" w:eastAsia="Cambria Math" w:hAnsi="Cambria Math" w:cs="Cambria Math"/>
                    </w:rPr>
                  </m:ctrlPr>
                </m:sSubPr>
                <m:e>
                  <m:r>
                    <w:rPr>
                      <w:rFonts w:ascii="Cambria Math" w:eastAsia="Cambria Math" w:hAnsi="Cambria Math" w:cs="Cambria Math"/>
                    </w:rPr>
                    <m:t>u</m:t>
                  </m:r>
                </m:e>
                <m:sub>
                  <m:r>
                    <w:rPr>
                      <w:rFonts w:ascii="Cambria Math" w:eastAsia="Cambria Math" w:hAnsi="Cambria Math" w:cs="Cambria Math"/>
                    </w:rPr>
                    <m:t>i,t</m:t>
                  </m:r>
                </m:sub>
              </m:sSub>
              <m:r>
                <w:rPr>
                  <w:rFonts w:ascii="Cambria Math" w:eastAsia="Cambria Math" w:hAnsi="Cambria Math" w:cs="Cambria Math"/>
                </w:rPr>
                <m:t xml:space="preserve">; </m:t>
              </m:r>
              <m:sSub>
                <m:sSubPr>
                  <m:ctrlPr>
                    <w:rPr>
                      <w:rFonts w:ascii="Cambria Math" w:eastAsia="Cambria Math" w:hAnsi="Cambria Math" w:cs="Cambria Math"/>
                    </w:rPr>
                  </m:ctrlPr>
                </m:sSubPr>
                <m:e>
                  <m:r>
                    <w:rPr>
                      <w:rFonts w:ascii="Cambria Math" w:eastAsia="Cambria Math" w:hAnsi="Cambria Math" w:cs="Cambria Math"/>
                    </w:rPr>
                    <m:t>∀</m:t>
                  </m:r>
                </m:e>
                <m:sub>
                  <m:r>
                    <w:rPr>
                      <w:rFonts w:ascii="Cambria Math" w:eastAsia="Cambria Math" w:hAnsi="Cambria Math" w:cs="Cambria Math"/>
                    </w:rPr>
                    <m:t>i,t∈</m:t>
                  </m:r>
                  <m:d>
                    <m:dPr>
                      <m:begChr m:val="["/>
                      <m:endChr m:val="]"/>
                      <m:ctrlPr>
                        <w:rPr>
                          <w:rFonts w:ascii="Cambria Math" w:eastAsia="Cambria Math" w:hAnsi="Cambria Math" w:cs="Cambria Math"/>
                        </w:rPr>
                      </m:ctrlPr>
                    </m:dPr>
                    <m:e>
                      <m:r>
                        <w:rPr>
                          <w:rFonts w:ascii="Cambria Math" w:eastAsia="Cambria Math" w:hAnsi="Cambria Math" w:cs="Cambria Math"/>
                        </w:rPr>
                        <m:t>TMFL,24</m:t>
                      </m:r>
                    </m:e>
                  </m:d>
                </m:sub>
              </m:sSub>
              <m:r>
                <w:rPr>
                  <w:rFonts w:ascii="Cambria Math" w:eastAsia="Cambria Math" w:hAnsi="Cambria Math" w:cs="Cambria Math"/>
                </w:rPr>
                <m:t xml:space="preserve">   #</m:t>
              </m:r>
              <m:d>
                <m:dPr>
                  <m:ctrlPr>
                    <w:rPr>
                      <w:rFonts w:ascii="Cambria Math" w:eastAsia="Cambria Math" w:hAnsi="Cambria Math" w:cs="Cambria Math"/>
                    </w:rPr>
                  </m:ctrlPr>
                </m:dPr>
                <m:e>
                  <m:r>
                    <w:rPr>
                      <w:rFonts w:ascii="Cambria Math" w:eastAsia="Cambria Math" w:hAnsi="Cambria Math" w:cs="Cambria Math"/>
                    </w:rPr>
                    <m:t>17</m:t>
                  </m:r>
                </m:e>
              </m:d>
            </m:e>
          </m:eqArr>
        </m:oMath>
      </m:oMathPara>
    </w:p>
    <w:p w14:paraId="2AC8600E" w14:textId="77777777" w:rsidR="00000CB8" w:rsidRDefault="00000CB8" w:rsidP="000D6AB9">
      <w:pPr>
        <w:pStyle w:val="IEEEPrafo"/>
      </w:pPr>
    </w:p>
    <w:p w14:paraId="016E4263" w14:textId="58B19BC7" w:rsidR="00742320" w:rsidRDefault="00742320" w:rsidP="000D6AB9">
      <w:pPr>
        <w:pStyle w:val="IEEEPrafo"/>
      </w:pPr>
      <w:r>
        <w:t xml:space="preserve">Donde </w:t>
      </w:r>
      <w:r>
        <w:rPr>
          <w:i/>
        </w:rPr>
        <w:t>TMFL</w:t>
      </w:r>
      <w:r>
        <w:t xml:space="preserve"> es el «tiempo mínimo fuera de línea». La restricción (</w:t>
      </w:r>
      <w:r w:rsidR="00A87523">
        <w:t>17</w:t>
      </w:r>
      <w:r>
        <w:t>) es la que tiene en consideración el tiempo mínimo fuera de línea de la planta</w:t>
      </w:r>
      <w:r w:rsidR="00A87523">
        <w:t xml:space="preserve"> térmica</w:t>
      </w:r>
      <w:r w:rsidR="00000CB8">
        <w:t xml:space="preserve"> </w:t>
      </w:r>
      <w:r w:rsidR="00000CB8">
        <w:fldChar w:fldCharType="begin" w:fldLock="1"/>
      </w:r>
      <w:r w:rsidR="006229A5">
        <w:instrText>ADDIN CSL_CITATION {"citationItems":[{"id":"ITEM-1","itemData":{"author":[{"dropping-particle":"","family":"Valenzuela Hernández","given":"Juan Guillermo","non-dropping-particle":"","parse-names":false,"suffix":""}],"id":"ITEM-1","issued":{"date-parts":[["2015","6"]]},"publisher":"Universidad Tecnológica de Pereira","publisher-place":"Pereira","title":"Desarrollo de un modelo de programación óptima de unidades de generación de energía eléctrica para el sistema eléctrico colombiano.","type":"thesis"},"uris":["http://www.mendeley.com/documents/?uuid=52cc619c-bc60-3421-af40-331b975fca32"]},{"id":"ITEM-2","itemData":{"author":[{"dropping-particle":"","family":"Carreno","given":"Oscar Mauricio","non-dropping-particle":"","parse-names":false,"suffix":""}],"id":"ITEM-2","issued":{"date-parts":[["0"]]},"page":"1-11","title":"Modelo Matemático para las tasas de toma de carga y descarga de los recursos de generación.","type":"article-journal"},"uris":["http://www.mendeley.com/documents/?uuid=224be55b-925e-4a19-aaf0-7c99f95ee6f1"]}],"mendeley":{"formattedCitation":"[10], [12]","plainTextFormattedCitation":"[10], [12]","previouslyFormattedCitation":"[10], [12]"},"properties":{"noteIndex":0},"schema":"https://github.com/citation-style-language/schema/raw/master/csl-citation.json"}</w:instrText>
      </w:r>
      <w:r w:rsidR="00000CB8">
        <w:fldChar w:fldCharType="separate"/>
      </w:r>
      <w:r w:rsidR="00000CB8" w:rsidRPr="00000CB8">
        <w:rPr>
          <w:noProof/>
        </w:rPr>
        <w:t>[10], [12]</w:t>
      </w:r>
      <w:r w:rsidR="00000CB8">
        <w:fldChar w:fldCharType="end"/>
      </w:r>
      <w:r>
        <w:t>.</w:t>
      </w:r>
    </w:p>
    <w:p w14:paraId="7DF57906" w14:textId="77777777" w:rsidR="00742320" w:rsidRDefault="00742320" w:rsidP="000D6AB9">
      <w:pPr>
        <w:pStyle w:val="IEEEPrafo"/>
      </w:pPr>
    </w:p>
    <w:p w14:paraId="26B8601F" w14:textId="0F3E1107" w:rsidR="00776708" w:rsidRPr="003765CF" w:rsidRDefault="000352A9" w:rsidP="000D6AB9">
      <w:pPr>
        <w:pStyle w:val="IEEEPrafo"/>
        <w:rPr>
          <w:rFonts w:eastAsiaTheme="minorEastAsia"/>
        </w:rPr>
      </w:pPr>
      <m:oMathPara>
        <m:oMath>
          <m:eqArr>
            <m:eqArrPr>
              <m:maxDist m:val="1"/>
              <m:ctrlPr>
                <w:rPr>
                  <w:rFonts w:ascii="Cambria Math" w:eastAsia="Cambria Math" w:hAnsi="Cambria Math" w:cs="Cambria Math"/>
                  <w:i/>
                </w:rPr>
              </m:ctrlPr>
            </m:eqArrPr>
            <m:e>
              <m:nary>
                <m:naryPr>
                  <m:chr m:val="∑"/>
                  <m:ctrlPr>
                    <w:rPr>
                      <w:rFonts w:ascii="Cambria Math" w:eastAsia="Cambria Math" w:hAnsi="Cambria Math" w:cs="Cambria Math"/>
                    </w:rPr>
                  </m:ctrlPr>
                </m:naryPr>
                <m:sub>
                  <m:r>
                    <w:rPr>
                      <w:rFonts w:ascii="Cambria Math" w:eastAsia="Cambria Math" w:hAnsi="Cambria Math" w:cs="Cambria Math"/>
                    </w:rPr>
                    <m:t>i=1</m:t>
                  </m:r>
                </m:sub>
                <m:sup>
                  <m:r>
                    <w:rPr>
                      <w:rFonts w:ascii="Cambria Math" w:eastAsia="Cambria Math" w:hAnsi="Cambria Math" w:cs="Cambria Math"/>
                    </w:rPr>
                    <m:t>G</m:t>
                  </m:r>
                </m:sup>
                <m:e>
                  <m:sSub>
                    <m:sSubPr>
                      <m:ctrlPr>
                        <w:rPr>
                          <w:rFonts w:ascii="Cambria Math" w:eastAsia="Cambria Math" w:hAnsi="Cambria Math" w:cs="Cambria Math"/>
                        </w:rPr>
                      </m:ctrlPr>
                    </m:sSubPr>
                    <m:e>
                      <m:r>
                        <w:rPr>
                          <w:rFonts w:ascii="Cambria Math" w:eastAsia="Cambria Math" w:hAnsi="Cambria Math" w:cs="Cambria Math"/>
                        </w:rPr>
                        <m:t>g</m:t>
                      </m:r>
                    </m:e>
                    <m:sub>
                      <m:sSub>
                        <m:sSubPr>
                          <m:ctrlPr>
                            <w:rPr>
                              <w:rFonts w:ascii="Cambria Math" w:eastAsia="Cambria Math" w:hAnsi="Cambria Math" w:cs="Cambria Math"/>
                            </w:rPr>
                          </m:ctrlPr>
                        </m:sSubPr>
                        <m:e>
                          <m:r>
                            <w:rPr>
                              <w:rFonts w:ascii="Cambria Math" w:eastAsia="Cambria Math" w:hAnsi="Cambria Math" w:cs="Cambria Math"/>
                            </w:rPr>
                            <m:t>i</m:t>
                          </m:r>
                        </m:e>
                        <m:sub>
                          <m:r>
                            <w:rPr>
                              <w:rFonts w:ascii="Cambria Math" w:eastAsia="Cambria Math" w:hAnsi="Cambria Math" w:cs="Cambria Math"/>
                            </w:rPr>
                            <m:t>t</m:t>
                          </m:r>
                        </m:sub>
                      </m:sSub>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r</m:t>
                      </m:r>
                    </m:e>
                    <m:sub>
                      <m:r>
                        <w:rPr>
                          <w:rFonts w:ascii="Cambria Math" w:eastAsia="Cambria Math" w:hAnsi="Cambria Math" w:cs="Cambria Math"/>
                        </w:rPr>
                        <m:t>t</m:t>
                      </m:r>
                    </m:sub>
                  </m:sSub>
                </m:e>
              </m:nary>
              <m:r>
                <w:rPr>
                  <w:rFonts w:ascii="Cambria Math" w:eastAsia="Cambria Math" w:hAnsi="Cambria Math" w:cs="Cambria Math"/>
                </w:rPr>
                <m:t>=</m:t>
              </m:r>
              <m:r>
                <w:rPr>
                  <w:rFonts w:ascii="Cambria Math" w:eastAsia="Cambria Math" w:hAnsi="Cambria Math" w:cs="Cambria Math"/>
                  <w:sz w:val="18"/>
                  <w:szCs w:val="18"/>
                </w:rPr>
                <m:t>Demand</m:t>
              </m:r>
              <m:sSub>
                <m:sSubPr>
                  <m:ctrlPr>
                    <w:rPr>
                      <w:rFonts w:ascii="Cambria Math" w:eastAsia="Cambria Math" w:hAnsi="Cambria Math" w:cs="Cambria Math"/>
                    </w:rPr>
                  </m:ctrlPr>
                </m:sSubPr>
                <m:e>
                  <m:r>
                    <w:rPr>
                      <w:rFonts w:ascii="Cambria Math" w:eastAsia="Cambria Math" w:hAnsi="Cambria Math" w:cs="Cambria Math"/>
                    </w:rPr>
                    <m:t>a</m:t>
                  </m:r>
                </m:e>
                <m:sub>
                  <m:r>
                    <w:rPr>
                      <w:rFonts w:ascii="Cambria Math" w:eastAsia="Cambria Math" w:hAnsi="Cambria Math" w:cs="Cambria Math"/>
                    </w:rPr>
                    <m:t>t</m:t>
                  </m:r>
                </m:sub>
              </m:sSub>
              <m:r>
                <w:rPr>
                  <w:rFonts w:ascii="Cambria Math" w:eastAsia="Cambria Math" w:hAnsi="Cambria Math" w:cs="Cambria Math"/>
                </w:rPr>
                <m:t>;∀t∈</m:t>
              </m:r>
              <m:d>
                <m:dPr>
                  <m:begChr m:val="["/>
                  <m:endChr m:val="]"/>
                  <m:ctrlPr>
                    <w:rPr>
                      <w:rFonts w:ascii="Cambria Math" w:eastAsia="Cambria Math" w:hAnsi="Cambria Math" w:cs="Cambria Math"/>
                    </w:rPr>
                  </m:ctrlPr>
                </m:dPr>
                <m:e>
                  <m:r>
                    <w:rPr>
                      <w:rFonts w:ascii="Cambria Math" w:eastAsia="Cambria Math" w:hAnsi="Cambria Math" w:cs="Cambria Math"/>
                    </w:rPr>
                    <m:t>1,24</m:t>
                  </m:r>
                </m:e>
              </m:d>
              <m:r>
                <w:rPr>
                  <w:rFonts w:ascii="Cambria Math" w:eastAsia="Cambria Math" w:hAnsi="Cambria Math" w:cs="Cambria Math"/>
                </w:rPr>
                <m:t>#</m:t>
              </m:r>
              <m:d>
                <m:dPr>
                  <m:ctrlPr>
                    <w:rPr>
                      <w:rFonts w:ascii="Cambria Math" w:eastAsia="Cambria Math" w:hAnsi="Cambria Math" w:cs="Cambria Math"/>
                    </w:rPr>
                  </m:ctrlPr>
                </m:dPr>
                <m:e>
                  <m:r>
                    <w:rPr>
                      <w:rFonts w:ascii="Cambria Math" w:eastAsia="Cambria Math" w:hAnsi="Cambria Math" w:cs="Cambria Math"/>
                    </w:rPr>
                    <m:t>18</m:t>
                  </m:r>
                </m:e>
              </m:d>
            </m:e>
          </m:eqArr>
        </m:oMath>
      </m:oMathPara>
    </w:p>
    <w:p w14:paraId="63B6BA68" w14:textId="77777777" w:rsidR="00742320" w:rsidRDefault="00742320" w:rsidP="000D6AB9">
      <w:pPr>
        <w:pStyle w:val="IEEEPrafo"/>
      </w:pPr>
    </w:p>
    <w:p w14:paraId="6017BA69" w14:textId="5803724D" w:rsidR="00742320" w:rsidRDefault="00742320" w:rsidP="000D6AB9">
      <w:pPr>
        <w:pStyle w:val="IEEEPrafo"/>
      </w:pPr>
      <w:r>
        <w:t>La restricción (1</w:t>
      </w:r>
      <w:r w:rsidR="00A87523">
        <w:t>8</w:t>
      </w:r>
      <w:r>
        <w:t>) es la responsable del cumplimiento del despacho para satisfacer la demanda del país para cada período de tiempo durante el día</w:t>
      </w:r>
      <w:r w:rsidR="006229A5">
        <w:t xml:space="preserve"> </w:t>
      </w:r>
      <w:r w:rsidR="006229A5">
        <w:fldChar w:fldCharType="begin" w:fldLock="1"/>
      </w:r>
      <w:r w:rsidR="00B917C1">
        <w:instrText>ADDIN CSL_CITATION {"citationItems":[{"id":"ITEM-1","itemData":{"author":[{"dropping-particle":"","family":"Valenzuela Hernández","given":"Juan Guillermo","non-dropping-particle":"","parse-names":false,"suffix":""}],"id":"ITEM-1","issued":{"date-parts":[["2015","6"]]},"publisher":"Universidad Tecnológica de Pereira","publisher-place":"Pereira","title":"Desarrollo de un modelo de programación óptima de unidades de generación de energía eléctrica para el sistema eléctrico colombiano.","type":"thesis"},"uris":["http://www.mendeley.com/documents/?uuid=52cc619c-bc60-3421-af40-331b975fca32"]},{"id":"ITEM-2","itemData":{"author":[{"dropping-particle":"","family":"Carreno","given":"Oscar Mauricio","non-dropping-particle":"","parse-names":false,"suffix":""}],"id":"ITEM-2","issued":{"date-parts":[["0"]]},"page":"1-11","title":"Modelo Matemático para las tasas de toma de carga y descarga de los recursos de generación.","type":"article-journal"},"uris":["http://www.mendeley.com/documents/?uuid=224be55b-925e-4a19-aaf0-7c99f95ee6f1"]}],"mendeley":{"formattedCitation":"[10], [12]","plainTextFormattedCitation":"[10], [12]","previouslyFormattedCitation":"[10], [12]"},"properties":{"noteIndex":0},"schema":"https://github.com/citation-style-language/schema/raw/master/csl-citation.json"}</w:instrText>
      </w:r>
      <w:r w:rsidR="006229A5">
        <w:fldChar w:fldCharType="separate"/>
      </w:r>
      <w:r w:rsidR="006229A5" w:rsidRPr="006229A5">
        <w:rPr>
          <w:noProof/>
        </w:rPr>
        <w:t>[10], [12]</w:t>
      </w:r>
      <w:r w:rsidR="006229A5">
        <w:fldChar w:fldCharType="end"/>
      </w:r>
      <w:r>
        <w:t>.</w:t>
      </w:r>
    </w:p>
    <w:p w14:paraId="12D92086" w14:textId="2EC17665" w:rsidR="00312F31" w:rsidRDefault="00312F31" w:rsidP="000D6AB9">
      <w:pPr>
        <w:pStyle w:val="IEEEPrafo"/>
      </w:pPr>
    </w:p>
    <w:p w14:paraId="540E615C" w14:textId="666733E7" w:rsidR="003765CF" w:rsidRDefault="00312F31" w:rsidP="000D6AB9">
      <w:pPr>
        <w:pStyle w:val="IEEEPrafo"/>
      </w:pPr>
      <w:r>
        <w:t>En lo que respecta a la modelación matemática realizada en Python, se modelaron las ecuaciones (1), (2), (3), (4), (5), (8), (9), (10), (11), (12), (13), (15), (16), (17) y (18).</w:t>
      </w:r>
    </w:p>
    <w:p w14:paraId="29CF22A5" w14:textId="780FC3E5" w:rsidR="00325061" w:rsidRDefault="00AA5528" w:rsidP="00325061">
      <w:pPr>
        <w:pStyle w:val="IEEENivel1"/>
      </w:pPr>
      <w:r>
        <w:t>R</w:t>
      </w:r>
      <w:r w:rsidR="00325061">
        <w:t>ESULTADOS</w:t>
      </w:r>
    </w:p>
    <w:p w14:paraId="7F7C7E7C" w14:textId="475E5227" w:rsidR="00AA5BBF" w:rsidRDefault="00AA5BBF" w:rsidP="00325061">
      <w:pPr>
        <w:pStyle w:val="IEEEPrafo"/>
      </w:pPr>
    </w:p>
    <w:p w14:paraId="08826A07" w14:textId="6459E212" w:rsidR="00AA5BBF" w:rsidRDefault="00AA5BBF" w:rsidP="00E84536">
      <w:pPr>
        <w:pStyle w:val="IEEEPrafo"/>
      </w:pPr>
      <w:r>
        <w:t xml:space="preserve">Los resultados se pueden apreciar en la sección de </w:t>
      </w:r>
      <w:hyperlink w:anchor="anexos" w:history="1">
        <w:r w:rsidRPr="00AA5BBF">
          <w:rPr>
            <w:rStyle w:val="Hipervnculo"/>
            <w:color w:val="auto"/>
            <w:u w:val="none"/>
          </w:rPr>
          <w:t>ANEXOS</w:t>
        </w:r>
      </w:hyperlink>
      <w:r>
        <w:t>.</w:t>
      </w:r>
    </w:p>
    <w:p w14:paraId="5DDF63D8" w14:textId="5B6BC593" w:rsidR="00903F54" w:rsidRDefault="00C11D01" w:rsidP="00325061">
      <w:pPr>
        <w:pStyle w:val="IEEEPrafo"/>
      </w:pPr>
      <w:r>
        <w:t xml:space="preserve">Se plantearon 4 escenarios de generación para </w:t>
      </w:r>
      <w:r>
        <w:rPr>
          <w:i/>
          <w:iCs w:val="0"/>
        </w:rPr>
        <w:t>SUPERTRINA</w:t>
      </w:r>
      <w:r>
        <w:t>, el recurso solar simulado</w:t>
      </w:r>
      <w:r w:rsidR="00AC018B">
        <w:t xml:space="preserve">. </w:t>
      </w:r>
      <w:r w:rsidR="00DC5DF2">
        <w:t xml:space="preserve">Se simuló la demanda </w:t>
      </w:r>
      <w:r w:rsidR="00793DF1">
        <w:t>con datos horarios reales del</w:t>
      </w:r>
      <w:r w:rsidR="00DC5DF2">
        <w:t xml:space="preserve"> 1 de febrero del 2022</w:t>
      </w:r>
      <w:r w:rsidR="00793DF1">
        <w:t>, la cual fue</w:t>
      </w:r>
      <w:r w:rsidR="00DC5DF2">
        <w:t xml:space="preserve"> disminuida a un 20% de su total</w:t>
      </w:r>
      <w:r w:rsidR="00793DF1">
        <w:t xml:space="preserve"> para evitar caer en racionamiento al simular poc</w:t>
      </w:r>
      <w:r w:rsidR="006B6D2B">
        <w:t>os</w:t>
      </w:r>
      <w:r w:rsidR="00793DF1">
        <w:t xml:space="preserve"> </w:t>
      </w:r>
      <w:r w:rsidR="006B6D2B">
        <w:t>recursos de generación. P</w:t>
      </w:r>
      <w:r w:rsidR="00DC5DF2">
        <w:t xml:space="preserve">ara </w:t>
      </w:r>
      <w:r w:rsidR="00793DF1">
        <w:t>el caso horario</w:t>
      </w:r>
      <w:r w:rsidR="006B6D2B">
        <w:t xml:space="preserve">, se usó solo los datos extraídos de la base de datos de XM </w:t>
      </w:r>
      <w:r w:rsidR="00793DF1">
        <w:t>y, para el caso de 15 minutos</w:t>
      </w:r>
      <w:r w:rsidR="006B6D2B">
        <w:t>,</w:t>
      </w:r>
      <w:r w:rsidR="00DC5DF2">
        <w:t xml:space="preserve"> </w:t>
      </w:r>
      <w:r w:rsidR="006B6D2B">
        <w:t xml:space="preserve">se llenaron los datos </w:t>
      </w:r>
      <w:proofErr w:type="spellStart"/>
      <w:r w:rsidR="006B6D2B">
        <w:t>intrahorarios</w:t>
      </w:r>
      <w:proofErr w:type="spellEnd"/>
      <w:r w:rsidR="006B6D2B">
        <w:t xml:space="preserve"> mediante el uso de datos aleatorios bajo una distribución normal, tomando como media el valor de demanda horario y 3 desviaciones estándar. </w:t>
      </w:r>
      <w:r w:rsidR="00334E9C">
        <w:t>Se puede apreciar la estructura de</w:t>
      </w:r>
      <w:r w:rsidR="00F57415">
        <w:t xml:space="preserve"> la tabla de</w:t>
      </w:r>
      <w:r w:rsidR="00241BD7">
        <w:t>l</w:t>
      </w:r>
      <w:r w:rsidR="00F57415">
        <w:t xml:space="preserve"> despacho económico en la </w:t>
      </w:r>
      <w:hyperlink w:anchor="Fig5" w:history="1">
        <w:r w:rsidR="00F57415" w:rsidRPr="00F57415">
          <w:rPr>
            <w:rStyle w:val="Hipervnculo"/>
            <w:color w:val="auto"/>
            <w:u w:val="none"/>
          </w:rPr>
          <w:t>Fi</w:t>
        </w:r>
        <w:r w:rsidR="00F57415" w:rsidRPr="00F57415">
          <w:rPr>
            <w:rStyle w:val="Hipervnculo"/>
            <w:color w:val="auto"/>
            <w:u w:val="none"/>
          </w:rPr>
          <w:t>g</w:t>
        </w:r>
        <w:r w:rsidR="00F57415" w:rsidRPr="00F57415">
          <w:rPr>
            <w:rStyle w:val="Hipervnculo"/>
            <w:color w:val="auto"/>
            <w:u w:val="none"/>
          </w:rPr>
          <w:t>. 5</w:t>
        </w:r>
      </w:hyperlink>
      <w:r w:rsidR="00F57415">
        <w:t xml:space="preserve">, la cual es generada desde Python. </w:t>
      </w:r>
      <w:r w:rsidR="001E3298">
        <w:t xml:space="preserve">Se genera, adicionalmente, las filas del racionamiento, total de generación, demanda y balance entre generación y demanda al final de cada escenario. </w:t>
      </w:r>
      <w:r w:rsidR="00F57415">
        <w:t>Para una mayor facilidad a la hora de comparar los escenarios, el mismo programa genera el filtro de Excel automáticamente</w:t>
      </w:r>
      <w:r>
        <w:t>.</w:t>
      </w:r>
    </w:p>
    <w:p w14:paraId="081E527F" w14:textId="77777777" w:rsidR="00F57415" w:rsidRDefault="00F57415" w:rsidP="00325061">
      <w:pPr>
        <w:pStyle w:val="IEEEPrafo"/>
      </w:pPr>
    </w:p>
    <w:p w14:paraId="476A757B" w14:textId="793060FD" w:rsidR="00C11D01" w:rsidRDefault="00C11D01" w:rsidP="00C11D01">
      <w:pPr>
        <w:pStyle w:val="IEEEPrafo"/>
      </w:pPr>
      <w:r>
        <w:t>Escenarios de generación con períodos de 1 hora:</w:t>
      </w:r>
    </w:p>
    <w:p w14:paraId="5005CAC9" w14:textId="0137BA10" w:rsidR="00C11D01" w:rsidRDefault="00C11D01" w:rsidP="00C11D01">
      <w:pPr>
        <w:pStyle w:val="IEEEPrafo"/>
        <w:numPr>
          <w:ilvl w:val="0"/>
          <w:numId w:val="7"/>
        </w:numPr>
      </w:pPr>
      <w:r>
        <w:t>Escenario 1: día soleado.</w:t>
      </w:r>
    </w:p>
    <w:p w14:paraId="3B802230" w14:textId="2F1C1929" w:rsidR="00053392" w:rsidRPr="00053392" w:rsidRDefault="00053392" w:rsidP="00053392">
      <w:pPr>
        <w:pStyle w:val="IEEEPrafo"/>
        <w:ind w:left="924" w:firstLine="0"/>
      </w:pPr>
      <w:r>
        <w:t xml:space="preserve">Valor de la función objetivo: </w:t>
      </w:r>
      <w:r w:rsidR="006919CB" w:rsidRPr="006919CB">
        <w:rPr>
          <w:rFonts w:eastAsia="Times New Roman"/>
          <w:color w:val="000000"/>
          <w:lang w:eastAsia="es-CO"/>
        </w:rPr>
        <w:t>$ 4.250.075.519</w:t>
      </w:r>
    </w:p>
    <w:p w14:paraId="24615C67" w14:textId="3375DC7E" w:rsidR="00C11D01" w:rsidRDefault="00C11D01" w:rsidP="00C11D01">
      <w:pPr>
        <w:pStyle w:val="IEEEPrafo"/>
        <w:numPr>
          <w:ilvl w:val="0"/>
          <w:numId w:val="7"/>
        </w:numPr>
      </w:pPr>
      <w:r>
        <w:t>Escenario 2: nubes entre 11</w:t>
      </w:r>
      <w:r w:rsidR="001B75EB">
        <w:t>:00</w:t>
      </w:r>
      <w:r>
        <w:t>am y 2</w:t>
      </w:r>
      <w:r w:rsidR="001B75EB">
        <w:t xml:space="preserve">:00 </w:t>
      </w:r>
      <w:r>
        <w:t>pm</w:t>
      </w:r>
      <w:r w:rsidR="00E84536">
        <w:t xml:space="preserve"> (períodos 11 y 14)</w:t>
      </w:r>
      <w:r>
        <w:t>.</w:t>
      </w:r>
    </w:p>
    <w:p w14:paraId="4B98A37E" w14:textId="2C79B9CC" w:rsidR="00926868" w:rsidRDefault="00926868" w:rsidP="00926868">
      <w:pPr>
        <w:pStyle w:val="IEEEPrafo"/>
        <w:ind w:left="924" w:firstLine="0"/>
      </w:pPr>
      <w:r>
        <w:t xml:space="preserve">Valor de la función objetivo: </w:t>
      </w:r>
      <w:r w:rsidR="006919CB" w:rsidRPr="006919CB">
        <w:t>$ 4.315.689.497</w:t>
      </w:r>
    </w:p>
    <w:p w14:paraId="402DC16B" w14:textId="4744136D" w:rsidR="00C11D01" w:rsidRDefault="00C11D01" w:rsidP="00C11D01">
      <w:pPr>
        <w:pStyle w:val="IEEEPrafo"/>
        <w:numPr>
          <w:ilvl w:val="0"/>
          <w:numId w:val="7"/>
        </w:numPr>
      </w:pPr>
      <w:r>
        <w:t>Escenario 3: nubes entre 2</w:t>
      </w:r>
      <w:r w:rsidR="001B75EB">
        <w:t xml:space="preserve">:00 </w:t>
      </w:r>
      <w:r>
        <w:t>pm y 4</w:t>
      </w:r>
      <w:r w:rsidR="001B75EB">
        <w:t xml:space="preserve">:00 </w:t>
      </w:r>
      <w:r>
        <w:t>pm</w:t>
      </w:r>
      <w:r w:rsidR="00E84536">
        <w:t xml:space="preserve"> </w:t>
      </w:r>
      <w:r w:rsidR="00E84536">
        <w:t>(períodos 1</w:t>
      </w:r>
      <w:r w:rsidR="00E84536">
        <w:t>4</w:t>
      </w:r>
      <w:r w:rsidR="00E84536">
        <w:t xml:space="preserve"> y 1</w:t>
      </w:r>
      <w:r w:rsidR="00E84536">
        <w:t>6</w:t>
      </w:r>
      <w:r w:rsidR="00E84536">
        <w:t>)</w:t>
      </w:r>
      <w:r>
        <w:t>.</w:t>
      </w:r>
    </w:p>
    <w:p w14:paraId="19AA1A8F" w14:textId="2A63C69A" w:rsidR="00926868" w:rsidRDefault="00926868" w:rsidP="00926868">
      <w:pPr>
        <w:pStyle w:val="IEEEPrafo"/>
        <w:ind w:left="924" w:firstLine="0"/>
      </w:pPr>
      <w:r>
        <w:t xml:space="preserve">Valor de la función objetivo: </w:t>
      </w:r>
      <w:r w:rsidR="006919CB" w:rsidRPr="006919CB">
        <w:t>$ 4.300.473.693</w:t>
      </w:r>
    </w:p>
    <w:p w14:paraId="041F0470" w14:textId="27F2DA24" w:rsidR="00C11D01" w:rsidRDefault="00C11D01" w:rsidP="00C11D01">
      <w:pPr>
        <w:pStyle w:val="IEEEPrafo"/>
        <w:numPr>
          <w:ilvl w:val="0"/>
          <w:numId w:val="7"/>
        </w:numPr>
      </w:pPr>
      <w:r>
        <w:t>Escenario 4: nubes entre 9</w:t>
      </w:r>
      <w:r w:rsidR="001B75EB">
        <w:t xml:space="preserve">:00 </w:t>
      </w:r>
      <w:r>
        <w:t>am y 11</w:t>
      </w:r>
      <w:r w:rsidR="001B75EB">
        <w:t xml:space="preserve">:00 </w:t>
      </w:r>
      <w:r>
        <w:t>am</w:t>
      </w:r>
      <w:r w:rsidR="00E84536">
        <w:t xml:space="preserve"> </w:t>
      </w:r>
      <w:r w:rsidR="00E84536">
        <w:t xml:space="preserve">(períodos </w:t>
      </w:r>
      <w:r w:rsidR="00E84536">
        <w:t>9</w:t>
      </w:r>
      <w:r w:rsidR="00E84536">
        <w:t xml:space="preserve"> y 1</w:t>
      </w:r>
      <w:r w:rsidR="00E84536">
        <w:t>1</w:t>
      </w:r>
      <w:r w:rsidR="00E84536">
        <w:t>)</w:t>
      </w:r>
      <w:r>
        <w:t>.</w:t>
      </w:r>
    </w:p>
    <w:p w14:paraId="2AA7527F" w14:textId="4A36897D" w:rsidR="00926868" w:rsidRDefault="00926868" w:rsidP="00926868">
      <w:pPr>
        <w:pStyle w:val="IEEEPrafo"/>
        <w:ind w:left="924" w:firstLine="0"/>
      </w:pPr>
      <w:r>
        <w:t xml:space="preserve">Valor de la función objetivo: </w:t>
      </w:r>
      <w:r w:rsidR="006919CB" w:rsidRPr="006919CB">
        <w:t>$ 4.267.234.383</w:t>
      </w:r>
    </w:p>
    <w:p w14:paraId="6F6ADFAB" w14:textId="7213A844" w:rsidR="00C11D01" w:rsidRDefault="00C11D01" w:rsidP="00C11D01">
      <w:pPr>
        <w:pStyle w:val="IEEEPrafo"/>
        <w:ind w:left="924" w:firstLine="0"/>
      </w:pPr>
    </w:p>
    <w:p w14:paraId="772B305C" w14:textId="151A76E7" w:rsidR="00C11D01" w:rsidRDefault="00C11D01" w:rsidP="00C11D01">
      <w:pPr>
        <w:pStyle w:val="IEEEPrafo"/>
      </w:pPr>
      <w:r>
        <w:t>Escenarios de generación con períodos de 15 minutos:</w:t>
      </w:r>
    </w:p>
    <w:p w14:paraId="335027FA" w14:textId="13C32902" w:rsidR="00C11D01" w:rsidRDefault="00C11D01" w:rsidP="00C11D01">
      <w:pPr>
        <w:pStyle w:val="IEEEPrafo"/>
        <w:numPr>
          <w:ilvl w:val="0"/>
          <w:numId w:val="8"/>
        </w:numPr>
      </w:pPr>
      <w:r>
        <w:t>Escenario 1: día soleado.</w:t>
      </w:r>
    </w:p>
    <w:p w14:paraId="4108F550" w14:textId="52265384" w:rsidR="00926868" w:rsidRDefault="00926868" w:rsidP="00926868">
      <w:pPr>
        <w:pStyle w:val="IEEEPrafo"/>
        <w:ind w:left="924" w:firstLine="0"/>
      </w:pPr>
      <w:r>
        <w:t xml:space="preserve">Valor de la función objetivo: </w:t>
      </w:r>
      <w:r w:rsidRPr="00926868">
        <w:t>$ 16.839.611.976</w:t>
      </w:r>
    </w:p>
    <w:p w14:paraId="66209E19" w14:textId="235EDBAD" w:rsidR="00C11D01" w:rsidRDefault="00C11D01" w:rsidP="00C11D01">
      <w:pPr>
        <w:pStyle w:val="IEEEPrafo"/>
        <w:numPr>
          <w:ilvl w:val="0"/>
          <w:numId w:val="8"/>
        </w:numPr>
      </w:pPr>
      <w:r>
        <w:t>Escenario 2: nubes entre 11:30am y 2:15pm</w:t>
      </w:r>
      <w:r w:rsidR="00E84536">
        <w:t xml:space="preserve"> </w:t>
      </w:r>
      <w:r w:rsidR="00E84536">
        <w:t xml:space="preserve">(períodos </w:t>
      </w:r>
      <w:r w:rsidR="001B75EB">
        <w:t>46</w:t>
      </w:r>
      <w:r w:rsidR="00E84536">
        <w:t xml:space="preserve"> y </w:t>
      </w:r>
      <w:r w:rsidR="001B75EB">
        <w:t>57</w:t>
      </w:r>
      <w:r w:rsidR="00E84536">
        <w:t>)</w:t>
      </w:r>
      <w:r>
        <w:t>.</w:t>
      </w:r>
    </w:p>
    <w:p w14:paraId="091E44D5" w14:textId="18383EF4" w:rsidR="00926868" w:rsidRDefault="00926868" w:rsidP="00926868">
      <w:pPr>
        <w:pStyle w:val="IEEEPrafo"/>
        <w:ind w:left="924" w:firstLine="0"/>
      </w:pPr>
      <w:r>
        <w:t xml:space="preserve">Valor de la función objetivo: </w:t>
      </w:r>
      <w:r w:rsidRPr="00926868">
        <w:t>$ 17.068.544.367</w:t>
      </w:r>
    </w:p>
    <w:p w14:paraId="7163A11A" w14:textId="40D3D6A1" w:rsidR="00C11D01" w:rsidRDefault="00C11D01" w:rsidP="00C11D01">
      <w:pPr>
        <w:pStyle w:val="IEEEPrafo"/>
        <w:numPr>
          <w:ilvl w:val="0"/>
          <w:numId w:val="8"/>
        </w:numPr>
      </w:pPr>
      <w:r>
        <w:t>Escenario 3: nubes entre 2:30pm y 4:45pm</w:t>
      </w:r>
      <w:r w:rsidR="001B75EB">
        <w:t xml:space="preserve"> </w:t>
      </w:r>
      <w:r w:rsidR="001B75EB">
        <w:t xml:space="preserve">(períodos </w:t>
      </w:r>
      <w:r w:rsidR="001B75EB">
        <w:t>58</w:t>
      </w:r>
      <w:r w:rsidR="001B75EB">
        <w:t xml:space="preserve"> y </w:t>
      </w:r>
      <w:r w:rsidR="001B75EB">
        <w:t>67</w:t>
      </w:r>
      <w:r w:rsidR="001B75EB">
        <w:t>)</w:t>
      </w:r>
      <w:r>
        <w:t>.</w:t>
      </w:r>
    </w:p>
    <w:p w14:paraId="19DDBCFA" w14:textId="7488D985" w:rsidR="00926868" w:rsidRDefault="00926868" w:rsidP="00926868">
      <w:pPr>
        <w:pStyle w:val="IEEEPrafo"/>
        <w:ind w:left="924" w:firstLine="0"/>
      </w:pPr>
      <w:r>
        <w:t xml:space="preserve">Valor de la función objetivo: </w:t>
      </w:r>
      <w:r w:rsidRPr="00926868">
        <w:t>$ 16.982.409.381</w:t>
      </w:r>
    </w:p>
    <w:p w14:paraId="7CA7512F" w14:textId="410DB9EE" w:rsidR="00C11D01" w:rsidRDefault="00C11D01" w:rsidP="00C11D01">
      <w:pPr>
        <w:pStyle w:val="IEEEPrafo"/>
        <w:numPr>
          <w:ilvl w:val="0"/>
          <w:numId w:val="8"/>
        </w:numPr>
      </w:pPr>
      <w:r>
        <w:t>Escenario 4: nubes entre 9:30am y 11:15am</w:t>
      </w:r>
      <w:r w:rsidR="001B75EB">
        <w:t xml:space="preserve"> </w:t>
      </w:r>
      <w:r w:rsidR="001B75EB">
        <w:t xml:space="preserve">(períodos </w:t>
      </w:r>
      <w:r w:rsidR="001B75EB">
        <w:t>38</w:t>
      </w:r>
      <w:r w:rsidR="001B75EB">
        <w:t xml:space="preserve"> y </w:t>
      </w:r>
      <w:r w:rsidR="001B75EB">
        <w:t>45</w:t>
      </w:r>
      <w:r w:rsidR="001B75EB">
        <w:t>)</w:t>
      </w:r>
      <w:r>
        <w:t>.</w:t>
      </w:r>
    </w:p>
    <w:p w14:paraId="46A2A79E" w14:textId="0B708E1E" w:rsidR="00926868" w:rsidRPr="00C11D01" w:rsidRDefault="00755071" w:rsidP="00926868">
      <w:pPr>
        <w:pStyle w:val="IEEEPrafo"/>
        <w:ind w:left="924" w:firstLine="0"/>
      </w:pPr>
      <w:r>
        <w:t xml:space="preserve">Valor de la función objetivo: </w:t>
      </w:r>
      <w:r w:rsidRPr="00755071">
        <w:t>$ 16.957.812.647</w:t>
      </w:r>
    </w:p>
    <w:p w14:paraId="31095C13" w14:textId="0BE700E6" w:rsidR="00903F54" w:rsidRDefault="00903F54" w:rsidP="00325061">
      <w:pPr>
        <w:pStyle w:val="IEEEPrafo"/>
      </w:pPr>
    </w:p>
    <w:p w14:paraId="23C9E86A" w14:textId="58A8A10A" w:rsidR="00AA5BBF" w:rsidRDefault="00F57415" w:rsidP="00325061">
      <w:pPr>
        <w:pStyle w:val="IEEEPrafo"/>
      </w:pPr>
      <w:r>
        <w:t>Para efectos del análisis del comportamiento del recurso térmico simulado (</w:t>
      </w:r>
      <w:r w:rsidR="00DD2D6D">
        <w:rPr>
          <w:i/>
          <w:iCs w:val="0"/>
        </w:rPr>
        <w:t>FLORES4B</w:t>
      </w:r>
      <w:r w:rsidR="00DD2D6D">
        <w:t xml:space="preserve">) frente a las desviaciones </w:t>
      </w:r>
      <w:r w:rsidR="001E3298">
        <w:t>del recurso solar, se filtraron solo ambos recursos</w:t>
      </w:r>
      <w:r w:rsidR="00E55A33">
        <w:t xml:space="preserve"> para los escenarios 1 y 2</w:t>
      </w:r>
      <w:r w:rsidR="00597460">
        <w:t>, haciendo énfasis entre los períodos en los que ocurren las nubes e incluyendo el período anterior y posterior a la eventualidad para obtener 2 períodos con rampas</w:t>
      </w:r>
      <w:r w:rsidR="00AA5BBF">
        <w:t xml:space="preserve">: </w:t>
      </w:r>
      <w:r w:rsidR="00AA5BBF" w:rsidRPr="00AA5BBF">
        <w:t>entre 10 y 11 y entre 14 y 15</w:t>
      </w:r>
      <w:r w:rsidR="00AA5BBF">
        <w:t xml:space="preserve"> para el caso de la </w:t>
      </w:r>
      <w:hyperlink w:anchor="Fig6" w:history="1">
        <w:r w:rsidR="00AA5BBF" w:rsidRPr="00AA5BBF">
          <w:rPr>
            <w:rStyle w:val="Hipervnculo"/>
            <w:color w:val="auto"/>
            <w:u w:val="none"/>
          </w:rPr>
          <w:t>Fi</w:t>
        </w:r>
        <w:r w:rsidR="00AA5BBF" w:rsidRPr="00AA5BBF">
          <w:rPr>
            <w:rStyle w:val="Hipervnculo"/>
            <w:color w:val="auto"/>
            <w:u w:val="none"/>
          </w:rPr>
          <w:t>g</w:t>
        </w:r>
        <w:r w:rsidR="00AA5BBF" w:rsidRPr="00AA5BBF">
          <w:rPr>
            <w:rStyle w:val="Hipervnculo"/>
            <w:color w:val="auto"/>
            <w:u w:val="none"/>
          </w:rPr>
          <w:t>. 6</w:t>
        </w:r>
      </w:hyperlink>
      <w:r w:rsidR="00AA5BBF">
        <w:t xml:space="preserve">; </w:t>
      </w:r>
      <w:r w:rsidR="00AA5BBF" w:rsidRPr="00AA5BBF">
        <w:t>entre 45 y 46 y entre 57 y 58</w:t>
      </w:r>
      <w:r w:rsidR="00AA5BBF">
        <w:t xml:space="preserve"> para el caso de la </w:t>
      </w:r>
      <w:hyperlink w:anchor="Fig7" w:history="1">
        <w:r w:rsidR="00AA5BBF" w:rsidRPr="00AA5BBF">
          <w:rPr>
            <w:rStyle w:val="Hipervnculo"/>
            <w:color w:val="auto"/>
            <w:u w:val="none"/>
          </w:rPr>
          <w:t>Fig. 7.</w:t>
        </w:r>
      </w:hyperlink>
    </w:p>
    <w:p w14:paraId="7321C771" w14:textId="1F4325E1" w:rsidR="00325061" w:rsidRPr="00325061" w:rsidRDefault="00325061" w:rsidP="00325061">
      <w:pPr>
        <w:pStyle w:val="IEEENivel1"/>
      </w:pPr>
      <w:r>
        <w:t>ANÁLISIS DE RESULTADOS</w:t>
      </w:r>
    </w:p>
    <w:p w14:paraId="4B5BE075" w14:textId="68CF5D0B" w:rsidR="00C9353F" w:rsidRDefault="009D08D4" w:rsidP="00206B06">
      <w:pPr>
        <w:pStyle w:val="IEEEPrafo"/>
      </w:pPr>
      <w:r>
        <w:t>Analizando los valores de la función objetivo entre el despacho con períodos horarios y con períodos cada 15 minutos, se puede apreciar que los de cada 15 minutos presentan un incremento de poco más del cuádruple del caso horario. Esto puede deberse a que el número de restricciones</w:t>
      </w:r>
      <w:r w:rsidR="00565015">
        <w:t xml:space="preserve"> en el modelo</w:t>
      </w:r>
      <w:r>
        <w:t xml:space="preserve"> es mayor en el caso de los 15 minutos al tratarse de una granularidad de tiempo menor</w:t>
      </w:r>
      <w:r w:rsidR="00C9353F">
        <w:t xml:space="preserve"> y entre mayor sea el número de restricciones, mayor será</w:t>
      </w:r>
      <w:r>
        <w:t xml:space="preserve"> el costo de operación</w:t>
      </w:r>
      <w:r w:rsidR="00C9353F">
        <w:t>. Cabe notar que el</w:t>
      </w:r>
      <w:r w:rsidR="0094169A">
        <w:t xml:space="preserve"> múltiplo del </w:t>
      </w:r>
      <w:r w:rsidR="00C9353F">
        <w:t xml:space="preserve">incremento es directamente proporcional al número de datos </w:t>
      </w:r>
      <w:proofErr w:type="spellStart"/>
      <w:r w:rsidR="00C9353F">
        <w:t>intrahorarios</w:t>
      </w:r>
      <w:proofErr w:type="spellEnd"/>
      <w:r w:rsidR="0094169A">
        <w:t>.</w:t>
      </w:r>
    </w:p>
    <w:p w14:paraId="5D39BA9A" w14:textId="77777777" w:rsidR="00A94EC2" w:rsidRDefault="00E84536" w:rsidP="00206B06">
      <w:pPr>
        <w:pStyle w:val="IEEEPrafo"/>
      </w:pPr>
      <w:r>
        <w:t xml:space="preserve">Analizando las </w:t>
      </w:r>
      <w:hyperlink w:anchor="Fig6" w:history="1">
        <w:r w:rsidRPr="00AA5BBF">
          <w:rPr>
            <w:rStyle w:val="Hipervnculo"/>
            <w:color w:val="auto"/>
            <w:u w:val="none"/>
          </w:rPr>
          <w:t>Fig.</w:t>
        </w:r>
        <w:r w:rsidRPr="00AA5BBF">
          <w:rPr>
            <w:rStyle w:val="Hipervnculo"/>
            <w:color w:val="auto"/>
            <w:u w:val="none"/>
          </w:rPr>
          <w:t xml:space="preserve"> </w:t>
        </w:r>
        <w:r w:rsidRPr="00AA5BBF">
          <w:rPr>
            <w:rStyle w:val="Hipervnculo"/>
            <w:color w:val="auto"/>
            <w:u w:val="none"/>
          </w:rPr>
          <w:t>6</w:t>
        </w:r>
      </w:hyperlink>
      <w:r>
        <w:t xml:space="preserve"> y </w:t>
      </w:r>
      <w:hyperlink w:anchor="Fig7" w:history="1">
        <w:r w:rsidRPr="00447F4C">
          <w:rPr>
            <w:rStyle w:val="Hipervnculo"/>
            <w:color w:val="auto"/>
            <w:u w:val="none"/>
          </w:rPr>
          <w:t>Fi</w:t>
        </w:r>
        <w:r w:rsidRPr="00447F4C">
          <w:rPr>
            <w:rStyle w:val="Hipervnculo"/>
            <w:color w:val="auto"/>
            <w:u w:val="none"/>
          </w:rPr>
          <w:t>g</w:t>
        </w:r>
        <w:r w:rsidRPr="00447F4C">
          <w:rPr>
            <w:rStyle w:val="Hipervnculo"/>
            <w:color w:val="auto"/>
            <w:u w:val="none"/>
          </w:rPr>
          <w:t>.</w:t>
        </w:r>
        <w:r w:rsidRPr="00447F4C">
          <w:rPr>
            <w:rStyle w:val="Hipervnculo"/>
            <w:color w:val="auto"/>
            <w:u w:val="none"/>
          </w:rPr>
          <w:t xml:space="preserve"> 7</w:t>
        </w:r>
      </w:hyperlink>
      <w:r>
        <w:t xml:space="preserve">, se puede apreciar que los valores despachados de </w:t>
      </w:r>
      <w:r>
        <w:rPr>
          <w:i/>
          <w:iCs w:val="0"/>
        </w:rPr>
        <w:t>FLORES</w:t>
      </w:r>
      <w:r w:rsidR="00447F4C">
        <w:rPr>
          <w:i/>
          <w:iCs w:val="0"/>
        </w:rPr>
        <w:t>4B</w:t>
      </w:r>
      <w:r>
        <w:rPr>
          <w:i/>
          <w:iCs w:val="0"/>
        </w:rPr>
        <w:t xml:space="preserve"> </w:t>
      </w:r>
      <w:r w:rsidR="00AF1083">
        <w:t xml:space="preserve">entre 10 y 15 de la </w:t>
      </w:r>
      <w:hyperlink w:anchor="Fig6" w:history="1">
        <w:r w:rsidR="00AF1083" w:rsidRPr="00AA5BBF">
          <w:rPr>
            <w:rStyle w:val="Hipervnculo"/>
            <w:color w:val="auto"/>
            <w:u w:val="none"/>
          </w:rPr>
          <w:t>Fig. 6</w:t>
        </w:r>
      </w:hyperlink>
      <w:r w:rsidR="00AF1083">
        <w:t xml:space="preserve"> y entre 45 y 58 de la </w:t>
      </w:r>
      <w:hyperlink w:anchor="Fig7" w:history="1">
        <w:r w:rsidR="00AF1083" w:rsidRPr="00447F4C">
          <w:rPr>
            <w:rStyle w:val="Hipervnculo"/>
            <w:color w:val="auto"/>
            <w:u w:val="none"/>
          </w:rPr>
          <w:t>Fig. 7</w:t>
        </w:r>
      </w:hyperlink>
      <w:r w:rsidR="00AF1083">
        <w:t xml:space="preserve"> </w:t>
      </w:r>
      <w:r w:rsidR="00447F4C">
        <w:t>son diferentes</w:t>
      </w:r>
      <w:r w:rsidR="00AF1083">
        <w:t xml:space="preserve"> </w:t>
      </w:r>
      <w:r w:rsidR="00447F4C">
        <w:t>entre sí en los escenarios 1 de cada caso</w:t>
      </w:r>
      <w:r w:rsidR="00053392">
        <w:t xml:space="preserve">, siendo menores en el caso de 15 minutos. </w:t>
      </w:r>
      <w:r w:rsidR="00495BAF">
        <w:t xml:space="preserve">Esto puede deberse a que la central térmica no puede incrementar su potencia de manera drástica, como se explicó en la </w:t>
      </w:r>
      <w:hyperlink w:anchor="Fig2" w:history="1">
        <w:r w:rsidR="00495BAF" w:rsidRPr="00495BAF">
          <w:rPr>
            <w:rStyle w:val="Hipervnculo"/>
            <w:color w:val="auto"/>
            <w:u w:val="none"/>
          </w:rPr>
          <w:t>Fig. 2</w:t>
        </w:r>
      </w:hyperlink>
      <w:r w:rsidR="00495BAF">
        <w:t xml:space="preserve">. </w:t>
      </w:r>
    </w:p>
    <w:p w14:paraId="4E81D0EE" w14:textId="28D14E49" w:rsidR="00665AC8" w:rsidRDefault="00495BAF" w:rsidP="00665AC8">
      <w:pPr>
        <w:pStyle w:val="IEEEPrafo"/>
      </w:pPr>
      <w:r>
        <w:t>Se evidencia</w:t>
      </w:r>
      <w:r w:rsidR="00846334">
        <w:t xml:space="preserve"> en las </w:t>
      </w:r>
      <w:hyperlink w:anchor="Fig6" w:history="1">
        <w:r w:rsidR="00846334" w:rsidRPr="00AA5BBF">
          <w:rPr>
            <w:rStyle w:val="Hipervnculo"/>
            <w:color w:val="auto"/>
            <w:u w:val="none"/>
          </w:rPr>
          <w:t>Fig. 6</w:t>
        </w:r>
      </w:hyperlink>
      <w:r w:rsidR="00846334">
        <w:t xml:space="preserve"> y </w:t>
      </w:r>
      <w:hyperlink w:anchor="Fig7" w:history="1">
        <w:r w:rsidR="00846334" w:rsidRPr="00447F4C">
          <w:rPr>
            <w:rStyle w:val="Hipervnculo"/>
            <w:color w:val="auto"/>
            <w:u w:val="none"/>
          </w:rPr>
          <w:t>Fig. 7</w:t>
        </w:r>
      </w:hyperlink>
      <w:r>
        <w:t>, además, que l</w:t>
      </w:r>
      <w:r w:rsidR="00A94EC2">
        <w:t xml:space="preserve">as rampas </w:t>
      </w:r>
      <w:r w:rsidR="00A74676">
        <w:t xml:space="preserve">de </w:t>
      </w:r>
      <w:r w:rsidR="00A74676">
        <w:rPr>
          <w:i/>
          <w:iCs w:val="0"/>
        </w:rPr>
        <w:t xml:space="preserve">FLORES4B </w:t>
      </w:r>
      <w:r w:rsidR="00A94EC2">
        <w:t>que sufren la transición de las eventualidades</w:t>
      </w:r>
      <w:r w:rsidR="00A74676">
        <w:t xml:space="preserve"> del escenario 2 </w:t>
      </w:r>
      <w:r w:rsidR="00516D9D">
        <w:t>de</w:t>
      </w:r>
      <w:r w:rsidR="00A94EC2">
        <w:t xml:space="preserve"> </w:t>
      </w:r>
      <w:r w:rsidR="00A94EC2">
        <w:rPr>
          <w:i/>
          <w:iCs w:val="0"/>
        </w:rPr>
        <w:t>SUPERTRINA</w:t>
      </w:r>
      <w:r w:rsidR="00DE295E" w:rsidRPr="008804AD">
        <w:t>,</w:t>
      </w:r>
      <w:r w:rsidR="00A94EC2">
        <w:rPr>
          <w:i/>
          <w:iCs w:val="0"/>
        </w:rPr>
        <w:t xml:space="preserve"> </w:t>
      </w:r>
      <w:r w:rsidR="00665AC8">
        <w:t xml:space="preserve">respetan el límite de la velocidad de toma de carga y </w:t>
      </w:r>
      <w:r w:rsidR="00AB059F">
        <w:t xml:space="preserve">de </w:t>
      </w:r>
      <w:r w:rsidR="00665AC8">
        <w:t>descarga</w:t>
      </w:r>
      <w:r w:rsidR="00560181">
        <w:t>, la</w:t>
      </w:r>
      <w:r w:rsidR="00DF22BE">
        <w:t>s</w:t>
      </w:r>
      <w:r w:rsidR="00560181">
        <w:t xml:space="preserve"> cual</w:t>
      </w:r>
      <w:r w:rsidR="00DF22BE">
        <w:t>es</w:t>
      </w:r>
      <w:r w:rsidR="00560181">
        <w:t xml:space="preserve"> se simul</w:t>
      </w:r>
      <w:r w:rsidR="00DF22BE">
        <w:t>aron</w:t>
      </w:r>
      <w:r w:rsidR="00560181">
        <w:t xml:space="preserve"> de </w:t>
      </w:r>
      <w:r w:rsidR="00AB059F">
        <w:t>2</w:t>
      </w:r>
      <w:r w:rsidR="00560181">
        <w:t xml:space="preserve"> </w:t>
      </w:r>
      <m:oMath>
        <m:d>
          <m:dPr>
            <m:begChr m:val="["/>
            <m:endChr m:val="]"/>
            <m:ctrlPr>
              <w:rPr>
                <w:rFonts w:ascii="Cambria Math" w:hAnsi="Cambria Math"/>
                <w:i/>
                <w:sz w:val="22"/>
                <w:szCs w:val="22"/>
              </w:rPr>
            </m:ctrlPr>
          </m:dPr>
          <m:e>
            <m:f>
              <m:fPr>
                <m:ctrlPr>
                  <w:rPr>
                    <w:rFonts w:ascii="Cambria Math" w:hAnsi="Cambria Math"/>
                    <w:i/>
                    <w:sz w:val="22"/>
                    <w:szCs w:val="22"/>
                  </w:rPr>
                </m:ctrlPr>
              </m:fPr>
              <m:num>
                <m:r>
                  <w:rPr>
                    <w:rFonts w:ascii="Cambria Math" w:hAnsi="Cambria Math"/>
                    <w:sz w:val="22"/>
                    <w:szCs w:val="22"/>
                  </w:rPr>
                  <m:t>MW</m:t>
                </m:r>
              </m:num>
              <m:den>
                <m:r>
                  <w:rPr>
                    <w:rFonts w:ascii="Cambria Math" w:hAnsi="Cambria Math"/>
                    <w:sz w:val="22"/>
                    <w:szCs w:val="22"/>
                  </w:rPr>
                  <m:t>min</m:t>
                </m:r>
              </m:den>
            </m:f>
          </m:e>
        </m:d>
      </m:oMath>
      <w:r w:rsidR="00665AC8">
        <w:t>:</w:t>
      </w:r>
    </w:p>
    <w:p w14:paraId="30D66C11" w14:textId="6B377B78" w:rsidR="00560181" w:rsidRDefault="00560181" w:rsidP="00846334">
      <w:pPr>
        <w:pStyle w:val="IEEENivel2"/>
      </w:pPr>
      <w:r>
        <w:t>Caso horario:</w:t>
      </w:r>
    </w:p>
    <w:p w14:paraId="581AF3FA" w14:textId="2AF26479" w:rsidR="00665AC8" w:rsidRPr="00665AC8" w:rsidRDefault="00665AC8" w:rsidP="00206B06">
      <w:pPr>
        <w:pStyle w:val="IEEEPrafo"/>
        <w:rPr>
          <w:rFonts w:eastAsiaTheme="minorEastAsia"/>
        </w:rPr>
      </w:pPr>
      <m:oMathPara>
        <m:oMath>
          <m:r>
            <w:rPr>
              <w:rFonts w:ascii="Cambria Math" w:hAnsi="Cambria Math"/>
            </w:rPr>
            <m:t xml:space="preserve">periodo 10:  </m:t>
          </m:r>
          <m:r>
            <w:rPr>
              <w:rFonts w:ascii="Cambria Math" w:hAnsi="Cambria Math"/>
            </w:rPr>
            <m:t>24,97</m:t>
          </m:r>
          <m:r>
            <w:rPr>
              <w:rFonts w:ascii="Cambria Math"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MW</m:t>
              </m:r>
            </m:e>
          </m:d>
        </m:oMath>
      </m:oMathPara>
    </w:p>
    <w:p w14:paraId="7E22FAFA" w14:textId="5F1D87AE" w:rsidR="00665AC8" w:rsidRPr="00665AC8" w:rsidRDefault="00665AC8" w:rsidP="00206B06">
      <w:pPr>
        <w:pStyle w:val="IEEEPrafo"/>
        <w:rPr>
          <w:rFonts w:eastAsiaTheme="minorEastAsia"/>
        </w:rPr>
      </w:pPr>
      <m:oMathPara>
        <m:oMath>
          <m:r>
            <w:rPr>
              <w:rFonts w:ascii="Cambria Math" w:eastAsiaTheme="minorEastAsia" w:hAnsi="Cambria Math"/>
            </w:rPr>
            <m:t>periodo 11:1</m:t>
          </m:r>
          <m:r>
            <w:rPr>
              <w:rFonts w:ascii="Cambria Math" w:eastAsiaTheme="minorEastAsia" w:hAnsi="Cambria Math"/>
            </w:rPr>
            <m:t>37,41</m:t>
          </m:r>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MW</m:t>
              </m:r>
            </m:e>
          </m:d>
        </m:oMath>
      </m:oMathPara>
    </w:p>
    <w:p w14:paraId="56E6787A" w14:textId="0B0F10D6" w:rsidR="00560181" w:rsidRPr="00560181" w:rsidRDefault="00376A6C" w:rsidP="00206B06">
      <w:pPr>
        <w:pStyle w:val="IEEEPrafo"/>
        <w:rPr>
          <w:rFonts w:eastAsiaTheme="minorEastAsia"/>
        </w:rPr>
      </w:pPr>
      <m:oMathPara>
        <m:oMath>
          <m:r>
            <w:rPr>
              <w:rFonts w:ascii="Cambria Math" w:eastAsiaTheme="minorEastAsia" w:hAnsi="Cambria Math"/>
            </w:rPr>
            <m:t>137,41</m:t>
          </m:r>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MW</m:t>
              </m:r>
            </m:e>
          </m:d>
          <m:r>
            <w:rPr>
              <w:rFonts w:ascii="Cambria Math" w:eastAsiaTheme="minorEastAsia" w:hAnsi="Cambria Math"/>
            </w:rPr>
            <m:t>-</m:t>
          </m:r>
          <m:r>
            <w:rPr>
              <w:rFonts w:ascii="Cambria Math" w:hAnsi="Cambria Math"/>
            </w:rPr>
            <m:t>24,97</m:t>
          </m:r>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MW</m:t>
              </m:r>
            </m:e>
          </m:d>
          <m:r>
            <w:rPr>
              <w:rFonts w:ascii="Cambria Math" w:eastAsiaTheme="minorEastAsia" w:hAnsi="Cambria Math"/>
            </w:rPr>
            <m:t>=</m:t>
          </m:r>
          <m:r>
            <w:rPr>
              <w:rFonts w:ascii="Cambria Math" w:eastAsiaTheme="minorEastAsia" w:hAnsi="Cambria Math"/>
            </w:rPr>
            <m:t>112,44</m:t>
          </m:r>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MW</m:t>
              </m:r>
            </m:e>
          </m:d>
        </m:oMath>
      </m:oMathPara>
    </w:p>
    <w:p w14:paraId="701C6E8D" w14:textId="36EABF51" w:rsidR="00665AC8" w:rsidRPr="00436936" w:rsidRDefault="00560181" w:rsidP="00206B06">
      <w:pPr>
        <w:pStyle w:val="IEEEPrafo"/>
        <w:rPr>
          <w:rFonts w:eastAsiaTheme="minorEastAsia"/>
        </w:rPr>
      </w:pPr>
      <m:oMathPara>
        <m:oMath>
          <m:r>
            <w:rPr>
              <w:rFonts w:ascii="Cambria Math" w:eastAsiaTheme="minorEastAsia" w:hAnsi="Cambria Math"/>
            </w:rPr>
            <m:t>VT</m:t>
          </m:r>
          <m:r>
            <w:rPr>
              <w:rFonts w:ascii="Cambria Math" w:eastAsiaTheme="minorEastAsia" w:hAnsi="Cambria Math"/>
            </w:rPr>
            <m:t>C</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f</m:t>
              </m:r>
            </m:sub>
          </m:sSub>
          <m:r>
            <w:rPr>
              <w:rFonts w:ascii="Cambria Math" w:eastAsiaTheme="minorEastAsia" w:hAnsi="Cambria Math"/>
            </w:rPr>
            <m:t>=</m:t>
          </m:r>
          <m:r>
            <w:rPr>
              <w:rFonts w:ascii="Cambria Math" w:eastAsiaTheme="minorEastAsia" w:hAnsi="Cambria Math"/>
            </w:rPr>
            <m:t>2</m:t>
          </m:r>
          <m:r>
            <w:rPr>
              <w:rFonts w:ascii="Cambria Math" w:eastAsiaTheme="minorEastAsia" w:hAnsi="Cambria Math"/>
            </w:rPr>
            <m:t xml:space="preserve"> </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MW</m:t>
                  </m:r>
                </m:num>
                <m:den>
                  <m:r>
                    <w:rPr>
                      <w:rFonts w:ascii="Cambria Math" w:eastAsiaTheme="minorEastAsia" w:hAnsi="Cambria Math"/>
                    </w:rPr>
                    <m:t>min</m:t>
                  </m:r>
                </m:den>
              </m:f>
            </m:e>
          </m:d>
          <m:r>
            <w:rPr>
              <w:rFonts w:ascii="Cambria Math" w:eastAsiaTheme="minorEastAsia" w:hAnsi="Cambria Math"/>
            </w:rPr>
            <m:t xml:space="preserve">⋅60 </m:t>
          </m:r>
          <m:d>
            <m:dPr>
              <m:begChr m:val="["/>
              <m:endChr m:val="]"/>
              <m:ctrlPr>
                <w:rPr>
                  <w:rFonts w:ascii="Cambria Math" w:eastAsiaTheme="minorEastAsia" w:hAnsi="Cambria Math"/>
                  <w:i/>
                </w:rPr>
              </m:ctrlPr>
            </m:dPr>
            <m:e>
              <m:r>
                <w:rPr>
                  <w:rFonts w:ascii="Cambria Math" w:eastAsiaTheme="minorEastAsia" w:hAnsi="Cambria Math"/>
                </w:rPr>
                <m:t>min</m:t>
              </m:r>
            </m:e>
          </m:d>
          <m:r>
            <w:rPr>
              <w:rFonts w:ascii="Cambria Math" w:eastAsiaTheme="minorEastAsia" w:hAnsi="Cambria Math"/>
            </w:rPr>
            <m:t>=</m:t>
          </m:r>
          <m:r>
            <w:rPr>
              <w:rFonts w:ascii="Cambria Math" w:eastAsiaTheme="minorEastAsia" w:hAnsi="Cambria Math"/>
            </w:rPr>
            <m:t>12</m:t>
          </m:r>
          <m:r>
            <w:rPr>
              <w:rFonts w:ascii="Cambria Math" w:eastAsiaTheme="minorEastAsia" w:hAnsi="Cambria Math"/>
            </w:rPr>
            <m:t xml:space="preserve">0 </m:t>
          </m:r>
          <m:d>
            <m:dPr>
              <m:begChr m:val="["/>
              <m:endChr m:val="]"/>
              <m:ctrlPr>
                <w:rPr>
                  <w:rFonts w:ascii="Cambria Math" w:eastAsiaTheme="minorEastAsia" w:hAnsi="Cambria Math"/>
                  <w:i/>
                </w:rPr>
              </m:ctrlPr>
            </m:dPr>
            <m:e>
              <m:r>
                <w:rPr>
                  <w:rFonts w:ascii="Cambria Math" w:eastAsiaTheme="minorEastAsia" w:hAnsi="Cambria Math"/>
                </w:rPr>
                <m:t>MW</m:t>
              </m:r>
            </m:e>
          </m:d>
        </m:oMath>
      </m:oMathPara>
    </w:p>
    <w:p w14:paraId="49C46CCC" w14:textId="77777777" w:rsidR="00AA5528" w:rsidRDefault="00436936" w:rsidP="00206B06">
      <w:pPr>
        <w:pStyle w:val="IEEEPrafo"/>
        <w:rPr>
          <w:rFonts w:eastAsiaTheme="minorEastAsia"/>
        </w:rPr>
        <w:sectPr w:rsidR="00AA5528" w:rsidSect="00AA5528">
          <w:type w:val="continuous"/>
          <w:pgSz w:w="12240" w:h="15840" w:code="1"/>
          <w:pgMar w:top="1009" w:right="936" w:bottom="1134" w:left="936" w:header="431" w:footer="431" w:gutter="0"/>
          <w:cols w:num="2" w:space="284"/>
          <w:docGrid w:linePitch="360"/>
        </w:sectPr>
      </w:pPr>
      <w:r>
        <w:rPr>
          <w:rFonts w:eastAsiaTheme="minorEastAsia"/>
        </w:rPr>
        <w:t>No sobrepasa el límite de toma de carga.</w:t>
      </w:r>
    </w:p>
    <w:p w14:paraId="3FD84CD9" w14:textId="77777777" w:rsidR="00AA5528" w:rsidRDefault="00AA5528" w:rsidP="00206B06">
      <w:pPr>
        <w:pStyle w:val="IEEEPrafo"/>
        <w:rPr>
          <w:rFonts w:eastAsiaTheme="minorEastAsia"/>
        </w:rPr>
        <w:sectPr w:rsidR="00AA5528" w:rsidSect="002D65E4">
          <w:type w:val="continuous"/>
          <w:pgSz w:w="12240" w:h="15840" w:code="1"/>
          <w:pgMar w:top="1009" w:right="936" w:bottom="1134" w:left="936" w:header="431" w:footer="431" w:gutter="0"/>
          <w:cols w:num="2" w:space="284"/>
          <w:docGrid w:linePitch="360"/>
        </w:sectPr>
      </w:pPr>
    </w:p>
    <w:p w14:paraId="1DC6C99A" w14:textId="223FD769" w:rsidR="00436936" w:rsidRPr="00971CAD" w:rsidRDefault="00436936" w:rsidP="00206B06">
      <w:pPr>
        <w:pStyle w:val="IEEEPrafo"/>
        <w:rPr>
          <w:rFonts w:eastAsiaTheme="minorEastAsia"/>
        </w:rPr>
      </w:pPr>
    </w:p>
    <w:p w14:paraId="6C622EA7" w14:textId="77777777" w:rsidR="00971CAD" w:rsidRDefault="00971CAD" w:rsidP="00971CAD">
      <w:pPr>
        <w:pStyle w:val="IEEEPrafo"/>
        <w:rPr>
          <w:rFonts w:eastAsiaTheme="minorEastAsia"/>
        </w:rPr>
      </w:pPr>
    </w:p>
    <w:p w14:paraId="40644506" w14:textId="4C3E6C68" w:rsidR="00971CAD" w:rsidRPr="00665AC8" w:rsidRDefault="00971CAD" w:rsidP="00971CAD">
      <w:pPr>
        <w:pStyle w:val="IEEEPrafo"/>
        <w:rPr>
          <w:rFonts w:eastAsiaTheme="minorEastAsia"/>
        </w:rPr>
      </w:pPr>
      <m:oMathPara>
        <m:oMath>
          <m:r>
            <w:rPr>
              <w:rFonts w:ascii="Cambria Math" w:hAnsi="Cambria Math"/>
            </w:rPr>
            <m:t xml:space="preserve">periodo </m:t>
          </m:r>
          <m:r>
            <w:rPr>
              <w:rFonts w:ascii="Cambria Math" w:hAnsi="Cambria Math"/>
            </w:rPr>
            <m:t>14</m:t>
          </m:r>
          <m:r>
            <w:rPr>
              <w:rFonts w:ascii="Cambria Math" w:hAnsi="Cambria Math"/>
            </w:rPr>
            <m:t xml:space="preserve">:  </m:t>
          </m:r>
          <m:r>
            <w:rPr>
              <w:rFonts w:ascii="Cambria Math" w:hAnsi="Cambria Math"/>
            </w:rPr>
            <m:t>16</m:t>
          </m:r>
          <m:r>
            <w:rPr>
              <w:rFonts w:ascii="Cambria Math" w:hAnsi="Cambria Math"/>
            </w:rPr>
            <m:t>2,49</m:t>
          </m:r>
          <m:r>
            <w:rPr>
              <w:rFonts w:ascii="Cambria Math"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MW</m:t>
              </m:r>
            </m:e>
          </m:d>
        </m:oMath>
      </m:oMathPara>
    </w:p>
    <w:p w14:paraId="61B8CDB8" w14:textId="41201219" w:rsidR="00971CAD" w:rsidRPr="00665AC8" w:rsidRDefault="00971CAD" w:rsidP="00971CAD">
      <w:pPr>
        <w:pStyle w:val="IEEEPrafo"/>
        <w:rPr>
          <w:rFonts w:eastAsiaTheme="minorEastAsia"/>
        </w:rPr>
      </w:pPr>
      <m:oMathPara>
        <m:oMath>
          <m:r>
            <w:rPr>
              <w:rFonts w:ascii="Cambria Math" w:eastAsiaTheme="minorEastAsia" w:hAnsi="Cambria Math"/>
            </w:rPr>
            <m:t>periodo 1</m:t>
          </m:r>
          <m:r>
            <w:rPr>
              <w:rFonts w:ascii="Cambria Math" w:eastAsiaTheme="minorEastAsia" w:hAnsi="Cambria Math"/>
            </w:rPr>
            <m:t>5</m:t>
          </m:r>
          <m:r>
            <w:rPr>
              <w:rFonts w:ascii="Cambria Math" w:eastAsiaTheme="minorEastAsia" w:hAnsi="Cambria Math"/>
            </w:rPr>
            <m:t>:</m:t>
          </m:r>
          <m:r>
            <w:rPr>
              <w:rFonts w:ascii="Cambria Math" w:eastAsiaTheme="minorEastAsia" w:hAnsi="Cambria Math"/>
            </w:rPr>
            <m:t>91,85</m:t>
          </m:r>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MW</m:t>
              </m:r>
            </m:e>
          </m:d>
        </m:oMath>
      </m:oMathPara>
    </w:p>
    <w:p w14:paraId="09B9042F" w14:textId="53D2F450" w:rsidR="00971CAD" w:rsidRPr="00560181" w:rsidRDefault="00DF22BE" w:rsidP="00971CAD">
      <w:pPr>
        <w:pStyle w:val="IEEEPrafo"/>
        <w:rPr>
          <w:rFonts w:eastAsiaTheme="minorEastAsia"/>
        </w:rPr>
      </w:pPr>
      <m:oMathPara>
        <m:oMath>
          <m:r>
            <w:rPr>
              <w:rFonts w:ascii="Cambria Math" w:hAnsi="Cambria Math"/>
            </w:rPr>
            <w:lastRenderedPageBreak/>
            <m:t>162,49</m:t>
          </m:r>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MW</m:t>
              </m:r>
            </m:e>
          </m:d>
          <m:r>
            <w:rPr>
              <w:rFonts w:ascii="Cambria Math" w:eastAsiaTheme="minorEastAsia" w:hAnsi="Cambria Math"/>
            </w:rPr>
            <m:t>-</m:t>
          </m:r>
          <m:r>
            <w:rPr>
              <w:rFonts w:ascii="Cambria Math" w:eastAsiaTheme="minorEastAsia" w:hAnsi="Cambria Math"/>
            </w:rPr>
            <m:t>91,85</m:t>
          </m:r>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MW</m:t>
              </m:r>
            </m:e>
          </m:d>
          <m:r>
            <w:rPr>
              <w:rFonts w:ascii="Cambria Math" w:eastAsiaTheme="minorEastAsia" w:hAnsi="Cambria Math"/>
            </w:rPr>
            <m:t>=</m:t>
          </m:r>
          <m:r>
            <w:rPr>
              <w:rFonts w:ascii="Cambria Math" w:eastAsiaTheme="minorEastAsia" w:hAnsi="Cambria Math"/>
            </w:rPr>
            <m:t>70,64</m:t>
          </m:r>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MW</m:t>
              </m:r>
            </m:e>
          </m:d>
        </m:oMath>
      </m:oMathPara>
    </w:p>
    <w:p w14:paraId="19E2279D" w14:textId="57B67F0B" w:rsidR="00971CAD" w:rsidRPr="00971CAD" w:rsidRDefault="00971CAD" w:rsidP="00971CAD">
      <w:pPr>
        <w:pStyle w:val="IEEEPrafo"/>
        <w:rPr>
          <w:rFonts w:eastAsiaTheme="minorEastAsia"/>
        </w:rPr>
      </w:pPr>
      <m:oMathPara>
        <m:oMath>
          <m:r>
            <w:rPr>
              <w:rFonts w:ascii="Cambria Math" w:eastAsiaTheme="minorEastAsia" w:hAnsi="Cambria Math"/>
            </w:rPr>
            <m:t>VT</m:t>
          </m:r>
          <m:r>
            <w:rPr>
              <w:rFonts w:ascii="Cambria Math" w:eastAsiaTheme="minorEastAsia" w:hAnsi="Cambria Math"/>
            </w:rPr>
            <m:t>D</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f</m:t>
              </m:r>
            </m:sub>
          </m:sSub>
          <m:r>
            <w:rPr>
              <w:rFonts w:ascii="Cambria Math" w:eastAsiaTheme="minorEastAsia" w:hAnsi="Cambria Math"/>
            </w:rPr>
            <m:t>=</m:t>
          </m:r>
          <m:r>
            <w:rPr>
              <w:rFonts w:ascii="Cambria Math" w:eastAsiaTheme="minorEastAsia" w:hAnsi="Cambria Math"/>
            </w:rPr>
            <m:t>2</m:t>
          </m:r>
          <m:r>
            <w:rPr>
              <w:rFonts w:ascii="Cambria Math" w:eastAsiaTheme="minorEastAsia" w:hAnsi="Cambria Math"/>
            </w:rPr>
            <m:t xml:space="preserve"> </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MW</m:t>
                  </m:r>
                </m:num>
                <m:den>
                  <m:r>
                    <w:rPr>
                      <w:rFonts w:ascii="Cambria Math" w:eastAsiaTheme="minorEastAsia" w:hAnsi="Cambria Math"/>
                    </w:rPr>
                    <m:t>min</m:t>
                  </m:r>
                </m:den>
              </m:f>
            </m:e>
          </m:d>
          <m:r>
            <w:rPr>
              <w:rFonts w:ascii="Cambria Math" w:eastAsiaTheme="minorEastAsia" w:hAnsi="Cambria Math"/>
            </w:rPr>
            <m:t xml:space="preserve">⋅60 </m:t>
          </m:r>
          <m:d>
            <m:dPr>
              <m:begChr m:val="["/>
              <m:endChr m:val="]"/>
              <m:ctrlPr>
                <w:rPr>
                  <w:rFonts w:ascii="Cambria Math" w:eastAsiaTheme="minorEastAsia" w:hAnsi="Cambria Math"/>
                  <w:i/>
                </w:rPr>
              </m:ctrlPr>
            </m:dPr>
            <m:e>
              <m:r>
                <w:rPr>
                  <w:rFonts w:ascii="Cambria Math" w:eastAsiaTheme="minorEastAsia" w:hAnsi="Cambria Math"/>
                </w:rPr>
                <m:t>min</m:t>
              </m:r>
            </m:e>
          </m:d>
          <m:r>
            <w:rPr>
              <w:rFonts w:ascii="Cambria Math" w:eastAsiaTheme="minorEastAsia" w:hAnsi="Cambria Math"/>
            </w:rPr>
            <m:t>=</m:t>
          </m:r>
          <m:r>
            <w:rPr>
              <w:rFonts w:ascii="Cambria Math" w:eastAsiaTheme="minorEastAsia" w:hAnsi="Cambria Math"/>
            </w:rPr>
            <m:t>120</m:t>
          </m:r>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MW</m:t>
              </m:r>
            </m:e>
          </m:d>
        </m:oMath>
      </m:oMathPara>
    </w:p>
    <w:p w14:paraId="79466E10" w14:textId="01AB30C4" w:rsidR="00971CAD" w:rsidRDefault="00436936" w:rsidP="00206B06">
      <w:pPr>
        <w:pStyle w:val="IEEEPrafo"/>
        <w:rPr>
          <w:rFonts w:eastAsiaTheme="minorEastAsia"/>
        </w:rPr>
      </w:pPr>
      <w:r>
        <w:rPr>
          <w:rFonts w:eastAsiaTheme="minorEastAsia"/>
        </w:rPr>
        <w:t xml:space="preserve">No sobrepasa el límite de toma de </w:t>
      </w:r>
      <w:r w:rsidR="00376A6C">
        <w:rPr>
          <w:rFonts w:eastAsiaTheme="minorEastAsia"/>
        </w:rPr>
        <w:t>des</w:t>
      </w:r>
      <w:r>
        <w:rPr>
          <w:rFonts w:eastAsiaTheme="minorEastAsia"/>
        </w:rPr>
        <w:t>carga.</w:t>
      </w:r>
    </w:p>
    <w:p w14:paraId="1F7A908B" w14:textId="77777777" w:rsidR="00226319" w:rsidRDefault="00226319" w:rsidP="00206B06">
      <w:pPr>
        <w:pStyle w:val="IEEEPrafo"/>
        <w:rPr>
          <w:rFonts w:eastAsiaTheme="minorEastAsia"/>
        </w:rPr>
      </w:pPr>
    </w:p>
    <w:p w14:paraId="2C28A0D7" w14:textId="14F080D3" w:rsidR="00436936" w:rsidRDefault="00436936" w:rsidP="00846334">
      <w:pPr>
        <w:pStyle w:val="IEEENivel2"/>
      </w:pPr>
      <w:r>
        <w:t xml:space="preserve">Caso </w:t>
      </w:r>
      <w:r>
        <w:t>cada 15 minutos</w:t>
      </w:r>
      <w:r>
        <w:t>:</w:t>
      </w:r>
    </w:p>
    <w:p w14:paraId="2DAF2AD4" w14:textId="509414E9" w:rsidR="00436936" w:rsidRPr="00665AC8" w:rsidRDefault="00436936" w:rsidP="00436936">
      <w:pPr>
        <w:pStyle w:val="IEEEPrafo"/>
        <w:rPr>
          <w:rFonts w:eastAsiaTheme="minorEastAsia"/>
        </w:rPr>
      </w:pPr>
      <m:oMathPara>
        <m:oMath>
          <m:r>
            <w:rPr>
              <w:rFonts w:ascii="Cambria Math" w:hAnsi="Cambria Math"/>
            </w:rPr>
            <m:t xml:space="preserve">periodo </m:t>
          </m:r>
          <m:r>
            <w:rPr>
              <w:rFonts w:ascii="Cambria Math" w:hAnsi="Cambria Math"/>
            </w:rPr>
            <m:t>45</m:t>
          </m:r>
          <m:r>
            <w:rPr>
              <w:rFonts w:ascii="Cambria Math" w:hAnsi="Cambria Math"/>
            </w:rPr>
            <m:t xml:space="preserve">:  </m:t>
          </m:r>
          <m:r>
            <w:rPr>
              <w:rFonts w:ascii="Cambria Math" w:hAnsi="Cambria Math"/>
            </w:rPr>
            <m:t>138,74</m:t>
          </m:r>
          <m:r>
            <w:rPr>
              <w:rFonts w:ascii="Cambria Math"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MW</m:t>
              </m:r>
            </m:e>
          </m:d>
        </m:oMath>
      </m:oMathPara>
    </w:p>
    <w:p w14:paraId="340ACEDF" w14:textId="2A23F1D4" w:rsidR="00436936" w:rsidRPr="00665AC8" w:rsidRDefault="00436936" w:rsidP="00436936">
      <w:pPr>
        <w:pStyle w:val="IEEEPrafo"/>
        <w:rPr>
          <w:rFonts w:eastAsiaTheme="minorEastAsia"/>
        </w:rPr>
      </w:pPr>
      <m:oMathPara>
        <m:oMath>
          <m:r>
            <w:rPr>
              <w:rFonts w:ascii="Cambria Math" w:eastAsiaTheme="minorEastAsia" w:hAnsi="Cambria Math"/>
            </w:rPr>
            <m:t xml:space="preserve">periodo </m:t>
          </m:r>
          <m:r>
            <w:rPr>
              <w:rFonts w:ascii="Cambria Math" w:eastAsiaTheme="minorEastAsia" w:hAnsi="Cambria Math"/>
            </w:rPr>
            <m:t>46</m:t>
          </m:r>
          <m:r>
            <w:rPr>
              <w:rFonts w:ascii="Cambria Math" w:eastAsiaTheme="minorEastAsia" w:hAnsi="Cambria Math"/>
            </w:rPr>
            <m:t>:</m:t>
          </m:r>
          <m:r>
            <w:rPr>
              <w:rFonts w:ascii="Cambria Math" w:eastAsiaTheme="minorEastAsia" w:hAnsi="Cambria Math"/>
            </w:rPr>
            <m:t>167,54</m:t>
          </m:r>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MW</m:t>
              </m:r>
            </m:e>
          </m:d>
        </m:oMath>
      </m:oMathPara>
    </w:p>
    <w:p w14:paraId="1DAF2245" w14:textId="3BB40451" w:rsidR="00436936" w:rsidRPr="00560181" w:rsidRDefault="00436936" w:rsidP="00436936">
      <w:pPr>
        <w:pStyle w:val="IEEEPrafo"/>
        <w:rPr>
          <w:rFonts w:eastAsiaTheme="minorEastAsia"/>
        </w:rPr>
      </w:pPr>
      <m:oMathPara>
        <m:oMath>
          <m:r>
            <w:rPr>
              <w:rFonts w:ascii="Cambria Math" w:eastAsiaTheme="minorEastAsia" w:hAnsi="Cambria Math"/>
            </w:rPr>
            <m:t xml:space="preserve">167,54 </m:t>
          </m:r>
          <m:d>
            <m:dPr>
              <m:begChr m:val="["/>
              <m:endChr m:val="]"/>
              <m:ctrlPr>
                <w:rPr>
                  <w:rFonts w:ascii="Cambria Math" w:eastAsiaTheme="minorEastAsia" w:hAnsi="Cambria Math"/>
                  <w:i/>
                </w:rPr>
              </m:ctrlPr>
            </m:dPr>
            <m:e>
              <m:r>
                <w:rPr>
                  <w:rFonts w:ascii="Cambria Math" w:eastAsiaTheme="minorEastAsia" w:hAnsi="Cambria Math"/>
                </w:rPr>
                <m:t>MW</m:t>
              </m:r>
            </m:e>
          </m:d>
          <m:r>
            <w:rPr>
              <w:rFonts w:ascii="Cambria Math" w:eastAsiaTheme="minorEastAsia" w:hAnsi="Cambria Math"/>
            </w:rPr>
            <m:t>-</m:t>
          </m:r>
          <m:r>
            <w:rPr>
              <w:rFonts w:ascii="Cambria Math" w:hAnsi="Cambria Math"/>
            </w:rPr>
            <m:t>138,74</m:t>
          </m:r>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MW</m:t>
              </m:r>
            </m:e>
          </m:d>
          <m:r>
            <w:rPr>
              <w:rFonts w:ascii="Cambria Math" w:eastAsiaTheme="minorEastAsia" w:hAnsi="Cambria Math"/>
            </w:rPr>
            <m:t>=</m:t>
          </m:r>
          <m:r>
            <w:rPr>
              <w:rFonts w:ascii="Cambria Math" w:eastAsiaTheme="minorEastAsia" w:hAnsi="Cambria Math"/>
            </w:rPr>
            <m:t>28,8</m:t>
          </m:r>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MW</m:t>
              </m:r>
            </m:e>
          </m:d>
        </m:oMath>
      </m:oMathPara>
    </w:p>
    <w:p w14:paraId="62C28210" w14:textId="4C0AAC28" w:rsidR="00436936" w:rsidRPr="00436936" w:rsidRDefault="00436936" w:rsidP="00436936">
      <w:pPr>
        <w:pStyle w:val="IEEEPrafo"/>
        <w:rPr>
          <w:rFonts w:eastAsiaTheme="minorEastAsia"/>
        </w:rPr>
      </w:pPr>
      <m:oMathPara>
        <m:oMath>
          <m:r>
            <w:rPr>
              <w:rFonts w:ascii="Cambria Math" w:eastAsiaTheme="minorEastAsia" w:hAnsi="Cambria Math"/>
            </w:rPr>
            <m:t>VT</m:t>
          </m:r>
          <m:r>
            <w:rPr>
              <w:rFonts w:ascii="Cambria Math" w:eastAsiaTheme="minorEastAsia" w:hAnsi="Cambria Math"/>
            </w:rPr>
            <m:t>C</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f</m:t>
              </m:r>
            </m:sub>
          </m:sSub>
          <m:r>
            <w:rPr>
              <w:rFonts w:ascii="Cambria Math" w:eastAsiaTheme="minorEastAsia" w:hAnsi="Cambria Math"/>
            </w:rPr>
            <m:t>=</m:t>
          </m:r>
          <m:r>
            <w:rPr>
              <w:rFonts w:ascii="Cambria Math" w:eastAsiaTheme="minorEastAsia" w:hAnsi="Cambria Math"/>
            </w:rPr>
            <m:t>2</m:t>
          </m:r>
          <m:r>
            <w:rPr>
              <w:rFonts w:ascii="Cambria Math" w:eastAsiaTheme="minorEastAsia" w:hAnsi="Cambria Math"/>
            </w:rPr>
            <m:t xml:space="preserve"> </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MW</m:t>
                  </m:r>
                </m:num>
                <m:den>
                  <m:r>
                    <w:rPr>
                      <w:rFonts w:ascii="Cambria Math" w:eastAsiaTheme="minorEastAsia" w:hAnsi="Cambria Math"/>
                    </w:rPr>
                    <m:t>min</m:t>
                  </m:r>
                </m:den>
              </m:f>
            </m:e>
          </m:d>
          <m:r>
            <w:rPr>
              <w:rFonts w:ascii="Cambria Math" w:eastAsiaTheme="minorEastAsia" w:hAnsi="Cambria Math"/>
            </w:rPr>
            <m:t>⋅</m:t>
          </m:r>
          <m:r>
            <w:rPr>
              <w:rFonts w:ascii="Cambria Math" w:eastAsiaTheme="minorEastAsia" w:hAnsi="Cambria Math"/>
            </w:rPr>
            <m:t>15</m:t>
          </m:r>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min</m:t>
              </m:r>
            </m:e>
          </m:d>
          <m:r>
            <w:rPr>
              <w:rFonts w:ascii="Cambria Math" w:eastAsiaTheme="minorEastAsia" w:hAnsi="Cambria Math"/>
            </w:rPr>
            <m:t xml:space="preserve">=30 </m:t>
          </m:r>
          <m:d>
            <m:dPr>
              <m:begChr m:val="["/>
              <m:endChr m:val="]"/>
              <m:ctrlPr>
                <w:rPr>
                  <w:rFonts w:ascii="Cambria Math" w:eastAsiaTheme="minorEastAsia" w:hAnsi="Cambria Math"/>
                  <w:i/>
                </w:rPr>
              </m:ctrlPr>
            </m:dPr>
            <m:e>
              <m:r>
                <w:rPr>
                  <w:rFonts w:ascii="Cambria Math" w:eastAsiaTheme="minorEastAsia" w:hAnsi="Cambria Math"/>
                </w:rPr>
                <m:t>MW</m:t>
              </m:r>
            </m:e>
          </m:d>
        </m:oMath>
      </m:oMathPara>
    </w:p>
    <w:p w14:paraId="5B048736" w14:textId="3389248E" w:rsidR="00436936" w:rsidRPr="00971CAD" w:rsidRDefault="00436936" w:rsidP="00436936">
      <w:pPr>
        <w:pStyle w:val="IEEEPrafo"/>
        <w:rPr>
          <w:rFonts w:eastAsiaTheme="minorEastAsia"/>
        </w:rPr>
      </w:pPr>
      <w:r>
        <w:rPr>
          <w:rFonts w:eastAsiaTheme="minorEastAsia"/>
        </w:rPr>
        <w:t>No sobrepasa el límite de toma de carga.</w:t>
      </w:r>
    </w:p>
    <w:p w14:paraId="57C415EE" w14:textId="77777777" w:rsidR="00436936" w:rsidRDefault="00436936" w:rsidP="00436936">
      <w:pPr>
        <w:pStyle w:val="IEEEPrafo"/>
        <w:rPr>
          <w:rFonts w:eastAsiaTheme="minorEastAsia"/>
        </w:rPr>
      </w:pPr>
    </w:p>
    <w:p w14:paraId="188A3A35" w14:textId="7B834DFE" w:rsidR="00436936" w:rsidRPr="00665AC8" w:rsidRDefault="00436936" w:rsidP="00436936">
      <w:pPr>
        <w:pStyle w:val="IEEEPrafo"/>
        <w:rPr>
          <w:rFonts w:eastAsiaTheme="minorEastAsia"/>
        </w:rPr>
      </w:pPr>
      <m:oMathPara>
        <m:oMath>
          <m:r>
            <w:rPr>
              <w:rFonts w:ascii="Cambria Math" w:hAnsi="Cambria Math"/>
            </w:rPr>
            <m:t xml:space="preserve">periodo </m:t>
          </m:r>
          <m:r>
            <w:rPr>
              <w:rFonts w:ascii="Cambria Math" w:hAnsi="Cambria Math"/>
            </w:rPr>
            <m:t>57</m:t>
          </m:r>
          <m:r>
            <w:rPr>
              <w:rFonts w:ascii="Cambria Math" w:hAnsi="Cambria Math"/>
            </w:rPr>
            <m:t xml:space="preserve">:  </m:t>
          </m:r>
          <m:r>
            <w:rPr>
              <w:rFonts w:ascii="Cambria Math" w:hAnsi="Cambria Math"/>
            </w:rPr>
            <m:t>212,85</m:t>
          </m:r>
          <m:r>
            <w:rPr>
              <w:rFonts w:ascii="Cambria Math"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MW</m:t>
              </m:r>
            </m:e>
          </m:d>
        </m:oMath>
      </m:oMathPara>
    </w:p>
    <w:p w14:paraId="09E7C891" w14:textId="4AB40900" w:rsidR="00436936" w:rsidRPr="00665AC8" w:rsidRDefault="00436936" w:rsidP="00436936">
      <w:pPr>
        <w:pStyle w:val="IEEEPrafo"/>
        <w:rPr>
          <w:rFonts w:eastAsiaTheme="minorEastAsia"/>
        </w:rPr>
      </w:pPr>
      <m:oMathPara>
        <m:oMath>
          <m:r>
            <w:rPr>
              <w:rFonts w:ascii="Cambria Math" w:eastAsiaTheme="minorEastAsia" w:hAnsi="Cambria Math"/>
            </w:rPr>
            <m:t xml:space="preserve">periodo </m:t>
          </m:r>
          <m:r>
            <w:rPr>
              <w:rFonts w:ascii="Cambria Math" w:eastAsiaTheme="minorEastAsia" w:hAnsi="Cambria Math"/>
            </w:rPr>
            <m:t>58</m:t>
          </m:r>
          <m:r>
            <w:rPr>
              <w:rFonts w:ascii="Cambria Math" w:eastAsiaTheme="minorEastAsia" w:hAnsi="Cambria Math"/>
            </w:rPr>
            <m:t>:19</m:t>
          </m:r>
          <m:r>
            <w:rPr>
              <w:rFonts w:ascii="Cambria Math" w:eastAsiaTheme="minorEastAsia" w:hAnsi="Cambria Math"/>
            </w:rPr>
            <m:t>6,18</m:t>
          </m:r>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MW</m:t>
              </m:r>
            </m:e>
          </m:d>
        </m:oMath>
      </m:oMathPara>
    </w:p>
    <w:p w14:paraId="1C0616D4" w14:textId="4000660D" w:rsidR="00436936" w:rsidRPr="00560181" w:rsidRDefault="00DF22BE" w:rsidP="00436936">
      <w:pPr>
        <w:pStyle w:val="IEEEPrafo"/>
        <w:rPr>
          <w:rFonts w:eastAsiaTheme="minorEastAsia"/>
        </w:rPr>
      </w:pPr>
      <m:oMathPara>
        <m:oMath>
          <m:r>
            <w:rPr>
              <w:rFonts w:ascii="Cambria Math" w:hAnsi="Cambria Math"/>
            </w:rPr>
            <m:t>212,85</m:t>
          </m:r>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MW</m:t>
              </m:r>
            </m:e>
          </m:d>
          <m:r>
            <w:rPr>
              <w:rFonts w:ascii="Cambria Math" w:eastAsiaTheme="minorEastAsia" w:hAnsi="Cambria Math"/>
            </w:rPr>
            <m:t>-</m:t>
          </m:r>
          <m:r>
            <w:rPr>
              <w:rFonts w:ascii="Cambria Math" w:eastAsiaTheme="minorEastAsia" w:hAnsi="Cambria Math"/>
            </w:rPr>
            <m:t>196,18</m:t>
          </m:r>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MW</m:t>
              </m:r>
            </m:e>
          </m:d>
          <m:r>
            <w:rPr>
              <w:rFonts w:ascii="Cambria Math" w:eastAsiaTheme="minorEastAsia" w:hAnsi="Cambria Math"/>
            </w:rPr>
            <m:t>=</m:t>
          </m:r>
          <m:r>
            <w:rPr>
              <w:rFonts w:ascii="Cambria Math" w:eastAsiaTheme="minorEastAsia" w:hAnsi="Cambria Math"/>
            </w:rPr>
            <m:t>16,67</m:t>
          </m:r>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MW</m:t>
              </m:r>
            </m:e>
          </m:d>
        </m:oMath>
      </m:oMathPara>
    </w:p>
    <w:p w14:paraId="30A686AD" w14:textId="4A2871F3" w:rsidR="00436936" w:rsidRPr="00971CAD" w:rsidRDefault="00436936" w:rsidP="00436936">
      <w:pPr>
        <w:pStyle w:val="IEEEPrafo"/>
        <w:rPr>
          <w:rFonts w:eastAsiaTheme="minorEastAsia"/>
        </w:rPr>
      </w:pPr>
      <m:oMathPara>
        <m:oMath>
          <m:r>
            <w:rPr>
              <w:rFonts w:ascii="Cambria Math" w:eastAsiaTheme="minorEastAsia" w:hAnsi="Cambria Math"/>
            </w:rPr>
            <m:t>VT</m:t>
          </m:r>
          <m:r>
            <w:rPr>
              <w:rFonts w:ascii="Cambria Math" w:eastAsiaTheme="minorEastAsia" w:hAnsi="Cambria Math"/>
            </w:rPr>
            <m:t>D</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f</m:t>
              </m:r>
            </m:sub>
          </m:sSub>
          <m:r>
            <w:rPr>
              <w:rFonts w:ascii="Cambria Math" w:eastAsiaTheme="minorEastAsia" w:hAnsi="Cambria Math"/>
            </w:rPr>
            <m:t>=</m:t>
          </m:r>
          <m:r>
            <w:rPr>
              <w:rFonts w:ascii="Cambria Math" w:eastAsiaTheme="minorEastAsia" w:hAnsi="Cambria Math"/>
            </w:rPr>
            <m:t>2</m:t>
          </m:r>
          <m:r>
            <w:rPr>
              <w:rFonts w:ascii="Cambria Math" w:eastAsiaTheme="minorEastAsia" w:hAnsi="Cambria Math"/>
            </w:rPr>
            <m:t xml:space="preserve"> </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MW</m:t>
                  </m:r>
                </m:num>
                <m:den>
                  <m:r>
                    <w:rPr>
                      <w:rFonts w:ascii="Cambria Math" w:eastAsiaTheme="minorEastAsia" w:hAnsi="Cambria Math"/>
                    </w:rPr>
                    <m:t>min</m:t>
                  </m:r>
                </m:den>
              </m:f>
            </m:e>
          </m:d>
          <m:r>
            <w:rPr>
              <w:rFonts w:ascii="Cambria Math" w:eastAsiaTheme="minorEastAsia" w:hAnsi="Cambria Math"/>
            </w:rPr>
            <m:t>⋅</m:t>
          </m:r>
          <m:r>
            <w:rPr>
              <w:rFonts w:ascii="Cambria Math" w:eastAsiaTheme="minorEastAsia" w:hAnsi="Cambria Math"/>
            </w:rPr>
            <m:t>15</m:t>
          </m:r>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min</m:t>
              </m:r>
            </m:e>
          </m:d>
          <m:r>
            <w:rPr>
              <w:rFonts w:ascii="Cambria Math" w:eastAsiaTheme="minorEastAsia" w:hAnsi="Cambria Math"/>
            </w:rPr>
            <m:t xml:space="preserve">=30 </m:t>
          </m:r>
          <m:d>
            <m:dPr>
              <m:begChr m:val="["/>
              <m:endChr m:val="]"/>
              <m:ctrlPr>
                <w:rPr>
                  <w:rFonts w:ascii="Cambria Math" w:eastAsiaTheme="minorEastAsia" w:hAnsi="Cambria Math"/>
                  <w:i/>
                </w:rPr>
              </m:ctrlPr>
            </m:dPr>
            <m:e>
              <m:r>
                <w:rPr>
                  <w:rFonts w:ascii="Cambria Math" w:eastAsiaTheme="minorEastAsia" w:hAnsi="Cambria Math"/>
                </w:rPr>
                <m:t>MW</m:t>
              </m:r>
            </m:e>
          </m:d>
        </m:oMath>
      </m:oMathPara>
    </w:p>
    <w:p w14:paraId="7F897582" w14:textId="7E30329D" w:rsidR="00436936" w:rsidRPr="00665AC8" w:rsidRDefault="00436936" w:rsidP="00436936">
      <w:pPr>
        <w:pStyle w:val="IEEEPrafo"/>
        <w:rPr>
          <w:rFonts w:eastAsiaTheme="minorEastAsia"/>
        </w:rPr>
      </w:pPr>
      <w:r>
        <w:rPr>
          <w:rFonts w:eastAsiaTheme="minorEastAsia"/>
        </w:rPr>
        <w:t xml:space="preserve">No sobrepasa el límite de toma de </w:t>
      </w:r>
      <w:r w:rsidR="00376A6C">
        <w:rPr>
          <w:rFonts w:eastAsiaTheme="minorEastAsia"/>
        </w:rPr>
        <w:t>des</w:t>
      </w:r>
      <w:r>
        <w:rPr>
          <w:rFonts w:eastAsiaTheme="minorEastAsia"/>
        </w:rPr>
        <w:t>carga.</w:t>
      </w:r>
    </w:p>
    <w:p w14:paraId="2DABA012" w14:textId="6395431E" w:rsidR="00436936" w:rsidRDefault="00436936" w:rsidP="00206B06">
      <w:pPr>
        <w:pStyle w:val="IEEEPrafo"/>
        <w:rPr>
          <w:rFonts w:eastAsiaTheme="minorEastAsia"/>
        </w:rPr>
      </w:pPr>
    </w:p>
    <w:p w14:paraId="47C95127" w14:textId="788FFD3F" w:rsidR="00325061" w:rsidRPr="00325061" w:rsidRDefault="00325061" w:rsidP="00325061">
      <w:pPr>
        <w:pStyle w:val="IEEENivel1"/>
      </w:pPr>
      <w:r>
        <w:t>CONCLUSIONES</w:t>
      </w:r>
    </w:p>
    <w:p w14:paraId="594A5F5B" w14:textId="6FBA47DA" w:rsidR="00BF01C4" w:rsidRDefault="00BF01C4" w:rsidP="007F7EB0">
      <w:pPr>
        <w:pStyle w:val="IEEEPrafo"/>
      </w:pPr>
    </w:p>
    <w:p w14:paraId="219A92C1" w14:textId="1772568F" w:rsidR="00E2706A" w:rsidRPr="000C23CA" w:rsidRDefault="00E2706A" w:rsidP="00E2706A">
      <w:pPr>
        <w:pStyle w:val="IEEEPrafo"/>
        <w:rPr>
          <w:u w:val="single"/>
        </w:rPr>
      </w:pPr>
      <w:r>
        <w:t>Se logró d</w:t>
      </w:r>
      <w:r>
        <w:t>esarrollar una modelación matemática en Python-</w:t>
      </w:r>
      <w:proofErr w:type="spellStart"/>
      <w:r>
        <w:t>Pyomo</w:t>
      </w:r>
      <w:proofErr w:type="spellEnd"/>
      <w:r>
        <w:t xml:space="preserve"> </w:t>
      </w:r>
      <w:r>
        <w:t xml:space="preserve">con </w:t>
      </w:r>
      <w:r>
        <w:t xml:space="preserve">restricciones que permiten resultados de despacho económico factibles para variaciones </w:t>
      </w:r>
      <w:proofErr w:type="spellStart"/>
      <w:r>
        <w:t>intrahorarias</w:t>
      </w:r>
      <w:proofErr w:type="spellEnd"/>
      <w:r>
        <w:t xml:space="preserve"> de generación, haciendo énfasis en </w:t>
      </w:r>
      <w:r>
        <w:t>cómo, a partir de desviaciones en la generación de los recursos de generación variable, los recursos térmicos se ajustan para compensar tales desviaciones.</w:t>
      </w:r>
    </w:p>
    <w:p w14:paraId="186F6E0A" w14:textId="77777777" w:rsidR="000C23CA" w:rsidRDefault="000C23CA" w:rsidP="00E2706A">
      <w:pPr>
        <w:pStyle w:val="IEEEPrafo"/>
      </w:pPr>
    </w:p>
    <w:p w14:paraId="61AD19A8" w14:textId="05DD310E" w:rsidR="00E2706A" w:rsidRDefault="00E2706A" w:rsidP="00E2706A">
      <w:pPr>
        <w:pStyle w:val="IEEEPrafo"/>
      </w:pPr>
      <w:r>
        <w:t>Se r</w:t>
      </w:r>
      <w:r>
        <w:t>ealizar</w:t>
      </w:r>
      <w:r>
        <w:t>on,</w:t>
      </w:r>
      <w:r>
        <w:t xml:space="preserve"> </w:t>
      </w:r>
      <w:r>
        <w:t xml:space="preserve">con éxito, </w:t>
      </w:r>
      <w:r>
        <w:t>simulaciones con datos reales del despacho en Colombia</w:t>
      </w:r>
      <w:r>
        <w:t>, tomando los datos de demanda del 1 de febrero de 2022 directamente de la base de datos de XM dentro del mismo programa implementado</w:t>
      </w:r>
      <w:r>
        <w:t>.</w:t>
      </w:r>
    </w:p>
    <w:p w14:paraId="11AF9B23" w14:textId="77777777" w:rsidR="000C23CA" w:rsidRDefault="000C23CA" w:rsidP="00E2706A">
      <w:pPr>
        <w:pStyle w:val="IEEEPrafo"/>
      </w:pPr>
    </w:p>
    <w:p w14:paraId="48BE3259" w14:textId="17C4E9A0" w:rsidR="00E2706A" w:rsidRPr="00613A43" w:rsidRDefault="00E2706A" w:rsidP="00E2706A">
      <w:pPr>
        <w:pStyle w:val="IEEEPrafo"/>
      </w:pPr>
      <w:r>
        <w:t>Se logró d</w:t>
      </w:r>
      <w:r>
        <w:t>eterminar las desviaciones de los recursos de generación variable</w:t>
      </w:r>
      <w:r>
        <w:t xml:space="preserve"> y, además, los valores de potencia por período (energía) que</w:t>
      </w:r>
      <w:r w:rsidR="0067092E">
        <w:t xml:space="preserve"> auxilian los recursos térmicos mediante la simulación de escenarios de generación en los que la irradiancia cambia debido a nubes.</w:t>
      </w:r>
    </w:p>
    <w:p w14:paraId="586357AD" w14:textId="77777777" w:rsidR="00E2706A" w:rsidRPr="0098797E" w:rsidRDefault="00E2706A" w:rsidP="007F7EB0">
      <w:pPr>
        <w:pStyle w:val="IEEEPrafo"/>
      </w:pPr>
    </w:p>
    <w:p w14:paraId="31CBB9BE" w14:textId="0E1A066F" w:rsidR="00BF01C4" w:rsidRDefault="007F7EB0" w:rsidP="00BF01C4">
      <w:pPr>
        <w:pStyle w:val="IEEENivel1"/>
      </w:pPr>
      <w:r>
        <w:t>REFERENCIAS</w:t>
      </w:r>
    </w:p>
    <w:p w14:paraId="7BEDDA7E" w14:textId="5079ED62" w:rsidR="00B917C1" w:rsidRPr="00B917C1" w:rsidRDefault="00BD351B" w:rsidP="000C23CA">
      <w:pPr>
        <w:widowControl w:val="0"/>
        <w:autoSpaceDE w:val="0"/>
        <w:autoSpaceDN w:val="0"/>
        <w:adjustRightInd w:val="0"/>
        <w:spacing w:after="0" w:line="240" w:lineRule="auto"/>
        <w:ind w:left="640" w:hanging="640"/>
        <w:jc w:val="both"/>
        <w:rPr>
          <w:rFonts w:ascii="Times New Roman" w:hAnsi="Times New Roman" w:cs="Times New Roman"/>
          <w:noProof/>
          <w:sz w:val="20"/>
          <w:szCs w:val="24"/>
        </w:rPr>
      </w:pPr>
      <w:r>
        <w:fldChar w:fldCharType="begin" w:fldLock="1"/>
      </w:r>
      <w:r>
        <w:instrText xml:space="preserve">ADDIN Mendeley Bibliography CSL_BIBLIOGRAPHY </w:instrText>
      </w:r>
      <w:r>
        <w:fldChar w:fldCharType="separate"/>
      </w:r>
      <w:r w:rsidR="00B917C1" w:rsidRPr="00B917C1">
        <w:rPr>
          <w:rFonts w:ascii="Times New Roman" w:hAnsi="Times New Roman" w:cs="Times New Roman"/>
          <w:noProof/>
          <w:sz w:val="20"/>
          <w:szCs w:val="24"/>
        </w:rPr>
        <w:t>[1]</w:t>
      </w:r>
      <w:r w:rsidR="00B917C1" w:rsidRPr="00B917C1">
        <w:rPr>
          <w:rFonts w:ascii="Times New Roman" w:hAnsi="Times New Roman" w:cs="Times New Roman"/>
          <w:noProof/>
          <w:sz w:val="20"/>
          <w:szCs w:val="24"/>
        </w:rPr>
        <w:tab/>
        <w:t>PARATEC and XM S.A. E.S.P., “Capacidad efectiva por tipo de generación.” https://bit.ly/3FV0X4v (accessed Jan. 24, 2022).</w:t>
      </w:r>
    </w:p>
    <w:p w14:paraId="6EE40224" w14:textId="77777777" w:rsidR="00B917C1" w:rsidRPr="00B917C1" w:rsidRDefault="00B917C1" w:rsidP="000C23CA">
      <w:pPr>
        <w:widowControl w:val="0"/>
        <w:autoSpaceDE w:val="0"/>
        <w:autoSpaceDN w:val="0"/>
        <w:adjustRightInd w:val="0"/>
        <w:spacing w:after="0" w:line="240" w:lineRule="auto"/>
        <w:ind w:left="640" w:hanging="640"/>
        <w:jc w:val="both"/>
        <w:rPr>
          <w:rFonts w:ascii="Times New Roman" w:hAnsi="Times New Roman" w:cs="Times New Roman"/>
          <w:noProof/>
          <w:sz w:val="20"/>
          <w:szCs w:val="24"/>
        </w:rPr>
      </w:pPr>
      <w:r w:rsidRPr="00B917C1">
        <w:rPr>
          <w:rFonts w:ascii="Times New Roman" w:hAnsi="Times New Roman" w:cs="Times New Roman"/>
          <w:noProof/>
          <w:sz w:val="20"/>
          <w:szCs w:val="24"/>
        </w:rPr>
        <w:t>[2]</w:t>
      </w:r>
      <w:r w:rsidRPr="00B917C1">
        <w:rPr>
          <w:rFonts w:ascii="Times New Roman" w:hAnsi="Times New Roman" w:cs="Times New Roman"/>
          <w:noProof/>
          <w:sz w:val="20"/>
          <w:szCs w:val="24"/>
        </w:rPr>
        <w:tab/>
        <w:t xml:space="preserve">Asociación Colombiana de Generadores de Energía </w:t>
      </w:r>
      <w:r w:rsidRPr="00B917C1">
        <w:rPr>
          <w:rFonts w:ascii="Times New Roman" w:hAnsi="Times New Roman" w:cs="Times New Roman"/>
          <w:noProof/>
          <w:sz w:val="20"/>
          <w:szCs w:val="24"/>
        </w:rPr>
        <w:t>Eléctrica, “Capacidad instalada en Colombia.” https://www.acolgen.org.co/ (accessed May 10, 2021).</w:t>
      </w:r>
    </w:p>
    <w:p w14:paraId="3C330E59" w14:textId="77777777" w:rsidR="00B917C1" w:rsidRPr="00B917C1" w:rsidRDefault="00B917C1" w:rsidP="000C23CA">
      <w:pPr>
        <w:widowControl w:val="0"/>
        <w:autoSpaceDE w:val="0"/>
        <w:autoSpaceDN w:val="0"/>
        <w:adjustRightInd w:val="0"/>
        <w:spacing w:after="0" w:line="240" w:lineRule="auto"/>
        <w:ind w:left="640" w:hanging="640"/>
        <w:jc w:val="both"/>
        <w:rPr>
          <w:rFonts w:ascii="Times New Roman" w:hAnsi="Times New Roman" w:cs="Times New Roman"/>
          <w:noProof/>
          <w:sz w:val="20"/>
          <w:szCs w:val="24"/>
        </w:rPr>
      </w:pPr>
      <w:r w:rsidRPr="00B917C1">
        <w:rPr>
          <w:rFonts w:ascii="Times New Roman" w:hAnsi="Times New Roman" w:cs="Times New Roman"/>
          <w:noProof/>
          <w:sz w:val="20"/>
          <w:szCs w:val="24"/>
        </w:rPr>
        <w:t>[3]</w:t>
      </w:r>
      <w:r w:rsidRPr="00B917C1">
        <w:rPr>
          <w:rFonts w:ascii="Times New Roman" w:hAnsi="Times New Roman" w:cs="Times New Roman"/>
          <w:noProof/>
          <w:sz w:val="20"/>
          <w:szCs w:val="24"/>
        </w:rPr>
        <w:tab/>
        <w:t xml:space="preserve">A. Ruíz L Opez </w:t>
      </w:r>
      <w:r w:rsidRPr="00B917C1">
        <w:rPr>
          <w:rFonts w:ascii="Times New Roman" w:hAnsi="Times New Roman" w:cs="Times New Roman"/>
          <w:i/>
          <w:iCs/>
          <w:noProof/>
          <w:sz w:val="20"/>
          <w:szCs w:val="24"/>
        </w:rPr>
        <w:t>et al.</w:t>
      </w:r>
      <w:r w:rsidRPr="00B917C1">
        <w:rPr>
          <w:rFonts w:ascii="Times New Roman" w:hAnsi="Times New Roman" w:cs="Times New Roman"/>
          <w:noProof/>
          <w:sz w:val="20"/>
          <w:szCs w:val="24"/>
        </w:rPr>
        <w:t>, “Solar PV generation in Colombia-A qualitative and quantitative approach to analyze the potential of solar energy market,” 2019, doi: 10.1016/j.renene.2019.10.066.</w:t>
      </w:r>
    </w:p>
    <w:p w14:paraId="0DBA3C22" w14:textId="77777777" w:rsidR="00B917C1" w:rsidRPr="00B917C1" w:rsidRDefault="00B917C1" w:rsidP="000C23CA">
      <w:pPr>
        <w:widowControl w:val="0"/>
        <w:autoSpaceDE w:val="0"/>
        <w:autoSpaceDN w:val="0"/>
        <w:adjustRightInd w:val="0"/>
        <w:spacing w:after="0" w:line="240" w:lineRule="auto"/>
        <w:ind w:left="640" w:hanging="640"/>
        <w:jc w:val="both"/>
        <w:rPr>
          <w:rFonts w:ascii="Times New Roman" w:hAnsi="Times New Roman" w:cs="Times New Roman"/>
          <w:noProof/>
          <w:sz w:val="20"/>
          <w:szCs w:val="24"/>
        </w:rPr>
      </w:pPr>
      <w:r w:rsidRPr="00B917C1">
        <w:rPr>
          <w:rFonts w:ascii="Times New Roman" w:hAnsi="Times New Roman" w:cs="Times New Roman"/>
          <w:noProof/>
          <w:sz w:val="20"/>
          <w:szCs w:val="24"/>
        </w:rPr>
        <w:t>[4]</w:t>
      </w:r>
      <w:r w:rsidRPr="00B917C1">
        <w:rPr>
          <w:rFonts w:ascii="Times New Roman" w:hAnsi="Times New Roman" w:cs="Times New Roman"/>
          <w:noProof/>
          <w:sz w:val="20"/>
          <w:szCs w:val="24"/>
        </w:rPr>
        <w:tab/>
        <w:t xml:space="preserve">A. J. Wood and B. F. Wollenberg, </w:t>
      </w:r>
      <w:r w:rsidRPr="00B917C1">
        <w:rPr>
          <w:rFonts w:ascii="Times New Roman" w:hAnsi="Times New Roman" w:cs="Times New Roman"/>
          <w:i/>
          <w:iCs/>
          <w:noProof/>
          <w:sz w:val="20"/>
          <w:szCs w:val="24"/>
        </w:rPr>
        <w:t>Power Generation Operation and Control</w:t>
      </w:r>
      <w:r w:rsidRPr="00B917C1">
        <w:rPr>
          <w:rFonts w:ascii="Times New Roman" w:hAnsi="Times New Roman" w:cs="Times New Roman"/>
          <w:noProof/>
          <w:sz w:val="20"/>
          <w:szCs w:val="24"/>
        </w:rPr>
        <w:t>. 1996.</w:t>
      </w:r>
    </w:p>
    <w:p w14:paraId="3CA1A8FD" w14:textId="77777777" w:rsidR="00B917C1" w:rsidRPr="00B917C1" w:rsidRDefault="00B917C1" w:rsidP="000C23CA">
      <w:pPr>
        <w:widowControl w:val="0"/>
        <w:autoSpaceDE w:val="0"/>
        <w:autoSpaceDN w:val="0"/>
        <w:adjustRightInd w:val="0"/>
        <w:spacing w:after="0" w:line="240" w:lineRule="auto"/>
        <w:ind w:left="640" w:hanging="640"/>
        <w:jc w:val="both"/>
        <w:rPr>
          <w:rFonts w:ascii="Times New Roman" w:hAnsi="Times New Roman" w:cs="Times New Roman"/>
          <w:noProof/>
          <w:sz w:val="20"/>
          <w:szCs w:val="24"/>
        </w:rPr>
      </w:pPr>
      <w:r w:rsidRPr="00B917C1">
        <w:rPr>
          <w:rFonts w:ascii="Times New Roman" w:hAnsi="Times New Roman" w:cs="Times New Roman"/>
          <w:noProof/>
          <w:sz w:val="20"/>
          <w:szCs w:val="24"/>
        </w:rPr>
        <w:t>[5]</w:t>
      </w:r>
      <w:r w:rsidRPr="00B917C1">
        <w:rPr>
          <w:rFonts w:ascii="Times New Roman" w:hAnsi="Times New Roman" w:cs="Times New Roman"/>
          <w:noProof/>
          <w:sz w:val="20"/>
          <w:szCs w:val="24"/>
        </w:rPr>
        <w:tab/>
        <w:t xml:space="preserve">J. A. D. Contreras, G. I. M. Villalba, and E. L. González, “Hedging strategy with products for the Colombian energy market,” </w:t>
      </w:r>
      <w:r w:rsidRPr="00B917C1">
        <w:rPr>
          <w:rFonts w:ascii="Times New Roman" w:hAnsi="Times New Roman" w:cs="Times New Roman"/>
          <w:i/>
          <w:iCs/>
          <w:noProof/>
          <w:sz w:val="20"/>
          <w:szCs w:val="24"/>
        </w:rPr>
        <w:t>Estud. Gerenciales</w:t>
      </w:r>
      <w:r w:rsidRPr="00B917C1">
        <w:rPr>
          <w:rFonts w:ascii="Times New Roman" w:hAnsi="Times New Roman" w:cs="Times New Roman"/>
          <w:noProof/>
          <w:sz w:val="20"/>
          <w:szCs w:val="24"/>
        </w:rPr>
        <w:t>, vol. 30, no. 130, pp. 55–64, Jan. 2014, doi: 10.1016/j.estger.2014.02.008.</w:t>
      </w:r>
    </w:p>
    <w:p w14:paraId="20DCB413" w14:textId="77777777" w:rsidR="00B917C1" w:rsidRPr="00B917C1" w:rsidRDefault="00B917C1" w:rsidP="000C23CA">
      <w:pPr>
        <w:widowControl w:val="0"/>
        <w:autoSpaceDE w:val="0"/>
        <w:autoSpaceDN w:val="0"/>
        <w:adjustRightInd w:val="0"/>
        <w:spacing w:after="0" w:line="240" w:lineRule="auto"/>
        <w:ind w:left="640" w:hanging="640"/>
        <w:jc w:val="both"/>
        <w:rPr>
          <w:rFonts w:ascii="Times New Roman" w:hAnsi="Times New Roman" w:cs="Times New Roman"/>
          <w:noProof/>
          <w:sz w:val="20"/>
          <w:szCs w:val="24"/>
        </w:rPr>
      </w:pPr>
      <w:r w:rsidRPr="00B917C1">
        <w:rPr>
          <w:rFonts w:ascii="Times New Roman" w:hAnsi="Times New Roman" w:cs="Times New Roman"/>
          <w:noProof/>
          <w:sz w:val="20"/>
          <w:szCs w:val="24"/>
        </w:rPr>
        <w:t>[6]</w:t>
      </w:r>
      <w:r w:rsidRPr="00B917C1">
        <w:rPr>
          <w:rFonts w:ascii="Times New Roman" w:hAnsi="Times New Roman" w:cs="Times New Roman"/>
          <w:noProof/>
          <w:sz w:val="20"/>
          <w:szCs w:val="24"/>
        </w:rPr>
        <w:tab/>
        <w:t>“XM: ¿Qué hacemos?” https://www.xm.com.co/nuestra-empresa/nosotros/que-hacemos (accessed Dec. 25, 2021).</w:t>
      </w:r>
    </w:p>
    <w:p w14:paraId="4DF4FF4A" w14:textId="77777777" w:rsidR="00B917C1" w:rsidRPr="00B917C1" w:rsidRDefault="00B917C1" w:rsidP="000C23CA">
      <w:pPr>
        <w:widowControl w:val="0"/>
        <w:autoSpaceDE w:val="0"/>
        <w:autoSpaceDN w:val="0"/>
        <w:adjustRightInd w:val="0"/>
        <w:spacing w:after="0" w:line="240" w:lineRule="auto"/>
        <w:ind w:left="640" w:hanging="640"/>
        <w:jc w:val="both"/>
        <w:rPr>
          <w:rFonts w:ascii="Times New Roman" w:hAnsi="Times New Roman" w:cs="Times New Roman"/>
          <w:noProof/>
          <w:sz w:val="20"/>
          <w:szCs w:val="24"/>
        </w:rPr>
      </w:pPr>
      <w:r w:rsidRPr="00B917C1">
        <w:rPr>
          <w:rFonts w:ascii="Times New Roman" w:hAnsi="Times New Roman" w:cs="Times New Roman"/>
          <w:noProof/>
          <w:sz w:val="20"/>
          <w:szCs w:val="24"/>
        </w:rPr>
        <w:t>[7]</w:t>
      </w:r>
      <w:r w:rsidRPr="00B917C1">
        <w:rPr>
          <w:rFonts w:ascii="Times New Roman" w:hAnsi="Times New Roman" w:cs="Times New Roman"/>
          <w:noProof/>
          <w:sz w:val="20"/>
          <w:szCs w:val="24"/>
        </w:rPr>
        <w:tab/>
        <w:t>Comillas ICAI, “Estudio para la modernización del despacho y el mercado spot de energía eléctrica-despacho vinculante y mercados intradiarios.” Accessed: Jan. 24, 2022. [Online]. Available: https://bit.ly/3qWePaH.</w:t>
      </w:r>
    </w:p>
    <w:p w14:paraId="4AF2912D" w14:textId="77777777" w:rsidR="00B917C1" w:rsidRPr="00B917C1" w:rsidRDefault="00B917C1" w:rsidP="000C23CA">
      <w:pPr>
        <w:widowControl w:val="0"/>
        <w:autoSpaceDE w:val="0"/>
        <w:autoSpaceDN w:val="0"/>
        <w:adjustRightInd w:val="0"/>
        <w:spacing w:after="0" w:line="240" w:lineRule="auto"/>
        <w:ind w:left="640" w:hanging="640"/>
        <w:jc w:val="both"/>
        <w:rPr>
          <w:rFonts w:ascii="Times New Roman" w:hAnsi="Times New Roman" w:cs="Times New Roman"/>
          <w:noProof/>
          <w:sz w:val="20"/>
          <w:szCs w:val="24"/>
        </w:rPr>
      </w:pPr>
      <w:r w:rsidRPr="00B917C1">
        <w:rPr>
          <w:rFonts w:ascii="Times New Roman" w:hAnsi="Times New Roman" w:cs="Times New Roman"/>
          <w:noProof/>
          <w:sz w:val="20"/>
          <w:szCs w:val="24"/>
        </w:rPr>
        <w:t>[8]</w:t>
      </w:r>
      <w:r w:rsidRPr="00B917C1">
        <w:rPr>
          <w:rFonts w:ascii="Times New Roman" w:hAnsi="Times New Roman" w:cs="Times New Roman"/>
          <w:noProof/>
          <w:sz w:val="20"/>
          <w:szCs w:val="24"/>
        </w:rPr>
        <w:tab/>
        <w:t>RightSide S.A.S, “Definición y Evaluación de un Sistema de Precios Nodales en el Mercado de Energía Mayorista bajo el esquema de Mercados Vinculantes del Día Anterior e Intradiarios,” 2021. [Online]. Available: https://bit.ly/3nTqLYV.</w:t>
      </w:r>
    </w:p>
    <w:p w14:paraId="56B83646" w14:textId="77777777" w:rsidR="00B917C1" w:rsidRPr="00B917C1" w:rsidRDefault="00B917C1" w:rsidP="000C23CA">
      <w:pPr>
        <w:widowControl w:val="0"/>
        <w:autoSpaceDE w:val="0"/>
        <w:autoSpaceDN w:val="0"/>
        <w:adjustRightInd w:val="0"/>
        <w:spacing w:after="0" w:line="240" w:lineRule="auto"/>
        <w:ind w:left="640" w:hanging="640"/>
        <w:jc w:val="both"/>
        <w:rPr>
          <w:rFonts w:ascii="Times New Roman" w:hAnsi="Times New Roman" w:cs="Times New Roman"/>
          <w:noProof/>
          <w:sz w:val="20"/>
          <w:szCs w:val="24"/>
        </w:rPr>
      </w:pPr>
      <w:r w:rsidRPr="00B917C1">
        <w:rPr>
          <w:rFonts w:ascii="Times New Roman" w:hAnsi="Times New Roman" w:cs="Times New Roman"/>
          <w:noProof/>
          <w:sz w:val="20"/>
          <w:szCs w:val="24"/>
        </w:rPr>
        <w:t>[9]</w:t>
      </w:r>
      <w:r w:rsidRPr="00B917C1">
        <w:rPr>
          <w:rFonts w:ascii="Times New Roman" w:hAnsi="Times New Roman" w:cs="Times New Roman"/>
          <w:noProof/>
          <w:sz w:val="20"/>
          <w:szCs w:val="24"/>
        </w:rPr>
        <w:tab/>
        <w:t xml:space="preserve">CREG, “Propuesta para despacho vinculante,” </w:t>
      </w:r>
      <w:r w:rsidRPr="00B917C1">
        <w:rPr>
          <w:rFonts w:ascii="Times New Roman" w:hAnsi="Times New Roman" w:cs="Times New Roman"/>
          <w:i/>
          <w:iCs/>
          <w:noProof/>
          <w:sz w:val="20"/>
          <w:szCs w:val="24"/>
        </w:rPr>
        <w:t>Consultation document Circular 039-2016 Anexo D-004B</w:t>
      </w:r>
      <w:r w:rsidRPr="00B917C1">
        <w:rPr>
          <w:rFonts w:ascii="Times New Roman" w:hAnsi="Times New Roman" w:cs="Times New Roman"/>
          <w:noProof/>
          <w:sz w:val="20"/>
          <w:szCs w:val="24"/>
        </w:rPr>
        <w:t>. 2016, [Online]. Available: https://bit.ly/3nQ5P4H.</w:t>
      </w:r>
    </w:p>
    <w:p w14:paraId="74070DD8" w14:textId="77777777" w:rsidR="00B917C1" w:rsidRPr="00B917C1" w:rsidRDefault="00B917C1" w:rsidP="000C23CA">
      <w:pPr>
        <w:widowControl w:val="0"/>
        <w:autoSpaceDE w:val="0"/>
        <w:autoSpaceDN w:val="0"/>
        <w:adjustRightInd w:val="0"/>
        <w:spacing w:after="0" w:line="240" w:lineRule="auto"/>
        <w:ind w:left="640" w:hanging="640"/>
        <w:jc w:val="both"/>
        <w:rPr>
          <w:rFonts w:ascii="Times New Roman" w:hAnsi="Times New Roman" w:cs="Times New Roman"/>
          <w:noProof/>
          <w:sz w:val="20"/>
          <w:szCs w:val="24"/>
        </w:rPr>
      </w:pPr>
      <w:r w:rsidRPr="00B917C1">
        <w:rPr>
          <w:rFonts w:ascii="Times New Roman" w:hAnsi="Times New Roman" w:cs="Times New Roman"/>
          <w:noProof/>
          <w:sz w:val="20"/>
          <w:szCs w:val="24"/>
        </w:rPr>
        <w:t>[10]</w:t>
      </w:r>
      <w:r w:rsidRPr="00B917C1">
        <w:rPr>
          <w:rFonts w:ascii="Times New Roman" w:hAnsi="Times New Roman" w:cs="Times New Roman"/>
          <w:noProof/>
          <w:sz w:val="20"/>
          <w:szCs w:val="24"/>
        </w:rPr>
        <w:tab/>
        <w:t>J. G. Valenzuela Hernández, “Desarrollo de un modelo de programación óptima de unidades de generación de energía eléctrica para el sistema eléctrico colombiano.,” Universidad Tecnológica de Pereira, Pereira, 2015.</w:t>
      </w:r>
    </w:p>
    <w:p w14:paraId="4DAAFF52" w14:textId="77777777" w:rsidR="00B917C1" w:rsidRPr="00B917C1" w:rsidRDefault="00B917C1" w:rsidP="000C23CA">
      <w:pPr>
        <w:widowControl w:val="0"/>
        <w:autoSpaceDE w:val="0"/>
        <w:autoSpaceDN w:val="0"/>
        <w:adjustRightInd w:val="0"/>
        <w:spacing w:after="0" w:line="240" w:lineRule="auto"/>
        <w:ind w:left="640" w:hanging="640"/>
        <w:jc w:val="both"/>
        <w:rPr>
          <w:rFonts w:ascii="Times New Roman" w:hAnsi="Times New Roman" w:cs="Times New Roman"/>
          <w:noProof/>
          <w:sz w:val="20"/>
          <w:szCs w:val="24"/>
        </w:rPr>
      </w:pPr>
      <w:r w:rsidRPr="00B917C1">
        <w:rPr>
          <w:rFonts w:ascii="Times New Roman" w:hAnsi="Times New Roman" w:cs="Times New Roman"/>
          <w:noProof/>
          <w:sz w:val="20"/>
          <w:szCs w:val="24"/>
        </w:rPr>
        <w:t>[11]</w:t>
      </w:r>
      <w:r w:rsidRPr="00B917C1">
        <w:rPr>
          <w:rFonts w:ascii="Times New Roman" w:hAnsi="Times New Roman" w:cs="Times New Roman"/>
          <w:noProof/>
          <w:sz w:val="20"/>
          <w:szCs w:val="24"/>
        </w:rPr>
        <w:tab/>
        <w:t>O. Carreño, “Optimización de sistemas de potencia.” 2020.</w:t>
      </w:r>
    </w:p>
    <w:p w14:paraId="3411BD57" w14:textId="77777777" w:rsidR="00B917C1" w:rsidRPr="00B917C1" w:rsidRDefault="00B917C1" w:rsidP="000C23CA">
      <w:pPr>
        <w:widowControl w:val="0"/>
        <w:autoSpaceDE w:val="0"/>
        <w:autoSpaceDN w:val="0"/>
        <w:adjustRightInd w:val="0"/>
        <w:spacing w:after="0" w:line="240" w:lineRule="auto"/>
        <w:ind w:left="640" w:hanging="640"/>
        <w:jc w:val="both"/>
        <w:rPr>
          <w:rFonts w:ascii="Times New Roman" w:hAnsi="Times New Roman" w:cs="Times New Roman"/>
          <w:noProof/>
          <w:sz w:val="20"/>
          <w:szCs w:val="24"/>
        </w:rPr>
      </w:pPr>
      <w:r w:rsidRPr="00B917C1">
        <w:rPr>
          <w:rFonts w:ascii="Times New Roman" w:hAnsi="Times New Roman" w:cs="Times New Roman"/>
          <w:noProof/>
          <w:sz w:val="20"/>
          <w:szCs w:val="24"/>
        </w:rPr>
        <w:t>[12]</w:t>
      </w:r>
      <w:r w:rsidRPr="00B917C1">
        <w:rPr>
          <w:rFonts w:ascii="Times New Roman" w:hAnsi="Times New Roman" w:cs="Times New Roman"/>
          <w:noProof/>
          <w:sz w:val="20"/>
          <w:szCs w:val="24"/>
        </w:rPr>
        <w:tab/>
        <w:t>O. M. Carreno, “Modelo Matemático para las tasas de toma de carga y descarga de los recursos de generación.,” pp. 1–11, [Online]. Available: http://www.tlaio.org.mx/EventosAnteriores/TLAIOIII/MODELO MATEMATICO PARA LAS TASAS DE TOMA DE.pdf.</w:t>
      </w:r>
    </w:p>
    <w:p w14:paraId="27997033" w14:textId="77777777" w:rsidR="00B917C1" w:rsidRPr="00B917C1" w:rsidRDefault="00B917C1" w:rsidP="000C23CA">
      <w:pPr>
        <w:widowControl w:val="0"/>
        <w:autoSpaceDE w:val="0"/>
        <w:autoSpaceDN w:val="0"/>
        <w:adjustRightInd w:val="0"/>
        <w:spacing w:after="0" w:line="240" w:lineRule="auto"/>
        <w:ind w:left="640" w:hanging="640"/>
        <w:jc w:val="both"/>
        <w:rPr>
          <w:rFonts w:ascii="Times New Roman" w:hAnsi="Times New Roman" w:cs="Times New Roman"/>
          <w:noProof/>
          <w:sz w:val="20"/>
        </w:rPr>
      </w:pPr>
      <w:r w:rsidRPr="00B917C1">
        <w:rPr>
          <w:rFonts w:ascii="Times New Roman" w:hAnsi="Times New Roman" w:cs="Times New Roman"/>
          <w:noProof/>
          <w:sz w:val="20"/>
          <w:szCs w:val="24"/>
        </w:rPr>
        <w:t>[13]</w:t>
      </w:r>
      <w:r w:rsidRPr="00B917C1">
        <w:rPr>
          <w:rFonts w:ascii="Times New Roman" w:hAnsi="Times New Roman" w:cs="Times New Roman"/>
          <w:noProof/>
          <w:sz w:val="20"/>
          <w:szCs w:val="24"/>
        </w:rPr>
        <w:tab/>
        <w:t>J. Mendoza, A. Cerón, and V. Alvarez, “Programa Despacho Intradiario,” 2022. https://github.com/Xa4Mend/DespachoIntradiario/tree/SeminarioIntegradorUdeA (accessed Apr. 07, 2022).</w:t>
      </w:r>
    </w:p>
    <w:p w14:paraId="02562228" w14:textId="4EA70657" w:rsidR="00FA4A52" w:rsidRDefault="00BD351B" w:rsidP="001B65D2">
      <w:pPr>
        <w:pStyle w:val="IEEEPrafo"/>
      </w:pPr>
      <w:r>
        <w:fldChar w:fldCharType="end"/>
      </w:r>
    </w:p>
    <w:p w14:paraId="78AB0587" w14:textId="77777777" w:rsidR="00FA4A52" w:rsidRDefault="00FA4A52">
      <w:pPr>
        <w:rPr>
          <w:rFonts w:ascii="Times New Roman" w:hAnsi="Times New Roman" w:cs="Times New Roman"/>
          <w:iCs/>
          <w:sz w:val="20"/>
          <w:szCs w:val="20"/>
          <w:lang w:val="es-ES"/>
        </w:rPr>
      </w:pPr>
      <w:r>
        <w:br w:type="page"/>
      </w:r>
    </w:p>
    <w:p w14:paraId="540008A6" w14:textId="77777777" w:rsidR="00FA4A52" w:rsidRDefault="00FA4A52" w:rsidP="00AC6A91">
      <w:pPr>
        <w:pStyle w:val="IEEENivel1"/>
        <w:sectPr w:rsidR="00FA4A52" w:rsidSect="002D65E4">
          <w:type w:val="continuous"/>
          <w:pgSz w:w="12240" w:h="15840" w:code="1"/>
          <w:pgMar w:top="1009" w:right="936" w:bottom="1134" w:left="936" w:header="431" w:footer="431" w:gutter="0"/>
          <w:cols w:num="2" w:space="284"/>
          <w:docGrid w:linePitch="360"/>
        </w:sectPr>
      </w:pPr>
    </w:p>
    <w:p w14:paraId="5F6B32CC" w14:textId="2058A4D8" w:rsidR="00AC6A91" w:rsidRDefault="00AC6A91" w:rsidP="00AC6A91">
      <w:pPr>
        <w:pStyle w:val="IEEENivel1"/>
      </w:pPr>
      <w:bookmarkStart w:id="4" w:name="anexos"/>
      <w:r>
        <w:lastRenderedPageBreak/>
        <w:t>ANEXOS</w:t>
      </w:r>
    </w:p>
    <w:bookmarkEnd w:id="4"/>
    <w:p w14:paraId="03B8B276" w14:textId="574DB53A" w:rsidR="00FA4A52" w:rsidRDefault="00FA4A52" w:rsidP="00FA4A52">
      <w:pPr>
        <w:pStyle w:val="IEEEPrafo"/>
      </w:pPr>
    </w:p>
    <w:p w14:paraId="192046F5" w14:textId="780FB7E5" w:rsidR="00FA4A52" w:rsidRDefault="00516D9D" w:rsidP="00FA4A52">
      <w:pPr>
        <w:pStyle w:val="IEEEPrafo"/>
        <w:keepNext/>
        <w:ind w:left="-964"/>
      </w:pPr>
      <w:bookmarkStart w:id="5" w:name="Fig5"/>
      <w:r w:rsidRPr="00516D9D">
        <w:drawing>
          <wp:inline distT="0" distB="0" distL="0" distR="0" wp14:anchorId="0E0ED324" wp14:editId="56F12A07">
            <wp:extent cx="7559040" cy="2868906"/>
            <wp:effectExtent l="0" t="0" r="0" b="0"/>
            <wp:docPr id="20" name="Imagen 20" descr="Interfaz de usuario gráfica, Aplicación, Tabla, Exce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Interfaz de usuario gráfica, Aplicación, Tabla, Excel&#10;&#10;Descripción generada automáticamente"/>
                    <pic:cNvPicPr/>
                  </pic:nvPicPr>
                  <pic:blipFill>
                    <a:blip r:embed="rId12"/>
                    <a:stretch>
                      <a:fillRect/>
                    </a:stretch>
                  </pic:blipFill>
                  <pic:spPr>
                    <a:xfrm>
                      <a:off x="0" y="0"/>
                      <a:ext cx="7577617" cy="2875957"/>
                    </a:xfrm>
                    <a:prstGeom prst="rect">
                      <a:avLst/>
                    </a:prstGeom>
                  </pic:spPr>
                </pic:pic>
              </a:graphicData>
            </a:graphic>
          </wp:inline>
        </w:drawing>
      </w:r>
      <w:bookmarkEnd w:id="5"/>
    </w:p>
    <w:p w14:paraId="064EF1A9" w14:textId="67549107" w:rsidR="00FA4A52" w:rsidRDefault="00FA4A52" w:rsidP="00FA4A52">
      <w:pPr>
        <w:pStyle w:val="IEEEPrafo"/>
        <w:jc w:val="center"/>
      </w:pPr>
      <w:r>
        <w:t xml:space="preserve">Fig.  </w:t>
      </w:r>
      <w:r>
        <w:fldChar w:fldCharType="begin"/>
      </w:r>
      <w:r>
        <w:instrText xml:space="preserve"> SEQ Fig._ \* ARABIC </w:instrText>
      </w:r>
      <w:r>
        <w:fldChar w:fldCharType="separate"/>
      </w:r>
      <w:r w:rsidR="00BA613F">
        <w:rPr>
          <w:noProof/>
        </w:rPr>
        <w:t>5</w:t>
      </w:r>
      <w:r>
        <w:fldChar w:fldCharType="end"/>
      </w:r>
      <w:r w:rsidRPr="00717E45">
        <w:t xml:space="preserve">. Despacho económico arrojado por Python en Excel </w:t>
      </w:r>
      <w:r>
        <w:fldChar w:fldCharType="begin" w:fldLock="1"/>
      </w:r>
      <w:r>
        <w:instrText>ADDIN CSL_CITATION {"citationItems":[{"id":"ITEM-1","itemData":{"URL":"https://github.com/Xa4Mend/DespachoIntradiario/tree/SeminarioIntegradorUdeA","accessed":{"date-parts":[["2022","4","7"]]},"author":[{"dropping-particle":"","family":"Mendoza","given":"Javier","non-dropping-particle":"","parse-names":false,"suffix":""},{"dropping-particle":"","family":"Cerón","given":"Andrés","non-dropping-particle":"","parse-names":false,"suffix":""},{"dropping-particle":"","family":"Alvarez","given":"Vladimir","non-dropping-particle":"","parse-names":false,"suffix":""}],"id":"ITEM-1","issued":{"date-parts":[["2022"]]},"title":"Programa Despacho Intradiario","type":"webpage"},"uris":["http://www.mendeley.com/documents/?uuid=7de285a9-1238-4ad2-8258-16a86a285987"]}],"mendeley":{"formattedCitation":"[13]","plainTextFormattedCitation":"[13]"},"properties":{"noteIndex":0},"schema":"https://github.com/citation-style-language/schema/raw/master/csl-citation.json"}</w:instrText>
      </w:r>
      <w:r>
        <w:fldChar w:fldCharType="separate"/>
      </w:r>
      <w:r w:rsidRPr="00B917C1">
        <w:rPr>
          <w:noProof/>
        </w:rPr>
        <w:t>[13]</w:t>
      </w:r>
      <w:r>
        <w:fldChar w:fldCharType="end"/>
      </w:r>
      <w:r w:rsidRPr="00717E45">
        <w:t>.</w:t>
      </w:r>
    </w:p>
    <w:p w14:paraId="1D998CE8" w14:textId="77777777" w:rsidR="00FA4A52" w:rsidRDefault="00FA4A52" w:rsidP="00FA4A52">
      <w:pPr>
        <w:pStyle w:val="IEEEPrafo"/>
        <w:sectPr w:rsidR="00FA4A52" w:rsidSect="00334E9C">
          <w:type w:val="continuous"/>
          <w:pgSz w:w="12240" w:h="15840" w:code="1"/>
          <w:pgMar w:top="1009" w:right="936" w:bottom="1134" w:left="936" w:header="431" w:footer="431" w:gutter="0"/>
          <w:cols w:space="284"/>
          <w:docGrid w:linePitch="360"/>
        </w:sectPr>
      </w:pPr>
    </w:p>
    <w:p w14:paraId="26BF4FB6" w14:textId="77777777" w:rsidR="00FA4A52" w:rsidRPr="00742320" w:rsidRDefault="00FA4A52" w:rsidP="00FA4A52">
      <w:pPr>
        <w:pStyle w:val="IEEEPrafo"/>
      </w:pPr>
    </w:p>
    <w:p w14:paraId="1461D223" w14:textId="77777777" w:rsidR="00FA4A52" w:rsidRDefault="00FA4A52" w:rsidP="00FA4A52">
      <w:pPr>
        <w:pStyle w:val="IEEEPrafo"/>
        <w:sectPr w:rsidR="00FA4A52" w:rsidSect="002D65E4">
          <w:type w:val="continuous"/>
          <w:pgSz w:w="12240" w:h="15840" w:code="1"/>
          <w:pgMar w:top="1009" w:right="936" w:bottom="1134" w:left="936" w:header="431" w:footer="431" w:gutter="0"/>
          <w:cols w:num="2" w:space="284"/>
          <w:docGrid w:linePitch="360"/>
        </w:sectPr>
      </w:pPr>
    </w:p>
    <w:p w14:paraId="07C7341A" w14:textId="5620DDD7" w:rsidR="00FA4A52" w:rsidRDefault="00516D9D" w:rsidP="00FA4A52">
      <w:pPr>
        <w:pStyle w:val="IEEEPrafo"/>
        <w:keepNext/>
        <w:ind w:left="-964"/>
      </w:pPr>
      <w:r w:rsidRPr="00516D9D">
        <w:drawing>
          <wp:inline distT="0" distB="0" distL="0" distR="0" wp14:anchorId="45EB57F3" wp14:editId="2F51515F">
            <wp:extent cx="7612380" cy="980916"/>
            <wp:effectExtent l="0" t="0" r="0" b="0"/>
            <wp:docPr id="21" name="Imagen 2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descr="Interfaz de usuario gráfica, Texto, Aplicación&#10;&#10;Descripción generada automáticamente"/>
                    <pic:cNvPicPr/>
                  </pic:nvPicPr>
                  <pic:blipFill>
                    <a:blip r:embed="rId13"/>
                    <a:stretch>
                      <a:fillRect/>
                    </a:stretch>
                  </pic:blipFill>
                  <pic:spPr>
                    <a:xfrm>
                      <a:off x="0" y="0"/>
                      <a:ext cx="7646286" cy="985285"/>
                    </a:xfrm>
                    <a:prstGeom prst="rect">
                      <a:avLst/>
                    </a:prstGeom>
                  </pic:spPr>
                </pic:pic>
              </a:graphicData>
            </a:graphic>
          </wp:inline>
        </w:drawing>
      </w:r>
    </w:p>
    <w:p w14:paraId="00268372" w14:textId="1183C9B7" w:rsidR="00FA4A52" w:rsidRDefault="00FA4A52" w:rsidP="00FA4A52">
      <w:pPr>
        <w:pStyle w:val="IEEEPrafo"/>
        <w:jc w:val="center"/>
      </w:pPr>
      <w:r w:rsidRPr="009402DC">
        <w:t xml:space="preserve">Fig.  </w:t>
      </w:r>
      <w:r w:rsidRPr="009402DC">
        <w:fldChar w:fldCharType="begin"/>
      </w:r>
      <w:r w:rsidRPr="009402DC">
        <w:instrText xml:space="preserve"> SEQ Fig._ \* ARABIC </w:instrText>
      </w:r>
      <w:r w:rsidRPr="009402DC">
        <w:fldChar w:fldCharType="separate"/>
      </w:r>
      <w:r w:rsidR="00BA613F">
        <w:rPr>
          <w:noProof/>
        </w:rPr>
        <w:t>6</w:t>
      </w:r>
      <w:r w:rsidRPr="009402DC">
        <w:fldChar w:fldCharType="end"/>
      </w:r>
      <w:r w:rsidRPr="009402DC">
        <w:t>. Comparación del escenario 1 contra el escenario 2. Despacho con período</w:t>
      </w:r>
      <w:r>
        <w:t>s</w:t>
      </w:r>
      <w:r w:rsidRPr="009402DC">
        <w:t xml:space="preserve"> de 1 hora </w:t>
      </w:r>
      <w:r w:rsidRPr="009402DC">
        <w:fldChar w:fldCharType="begin" w:fldLock="1"/>
      </w:r>
      <w:r w:rsidRPr="009402DC">
        <w:instrText>ADDIN CSL_CITATION {"citationItems":[{"id":"ITEM-1","itemData":{"URL":"https://github.com/Xa4Mend/DespachoIntradiario/tree/SeminarioIntegradorUdeA","accessed":{"date-parts":[["2022","4","7"]]},"author":[{"dropping-particle":"","family":"Mendoza","given":"Javier","non-dropping-particle":"","parse-names":false,"suffix":""},{"dropping-particle":"","family":"Cerón","given":"Andrés","non-dropping-particle":"","parse-names":false,"suffix":""},{"dropping-particle":"","family":"Alvarez","given":"Vladimir","non-dropping-particle":"","parse-names":false,"suffix":""}],"id":"ITEM-1","issued":{"date-parts":[["2022"]]},"title":"Programa Despacho Intradiario","type":"webpage"},"uris":["http://www.mendeley.com/documents/?uuid=7de285a9-1238-4ad2-8258-16a86a285987"]}],"mendeley":{"formattedCitation":"[13]","plainTextFormattedCitation":"[13]"},"properties":{"noteIndex":0},"schema":"https://github.com/citation-style-language/schema/raw/master/csl-citation.json"}</w:instrText>
      </w:r>
      <w:r w:rsidRPr="009402DC">
        <w:fldChar w:fldCharType="separate"/>
      </w:r>
      <w:r w:rsidRPr="009402DC">
        <w:rPr>
          <w:noProof/>
        </w:rPr>
        <w:t>[13]</w:t>
      </w:r>
      <w:r w:rsidRPr="009402DC">
        <w:fldChar w:fldCharType="end"/>
      </w:r>
      <w:r w:rsidRPr="009402DC">
        <w:t>.</w:t>
      </w:r>
    </w:p>
    <w:p w14:paraId="608D5027" w14:textId="77777777" w:rsidR="00FA4A52" w:rsidRDefault="00FA4A52" w:rsidP="00FA4A52">
      <w:pPr>
        <w:pStyle w:val="IEEEPrafo"/>
        <w:jc w:val="center"/>
      </w:pPr>
    </w:p>
    <w:p w14:paraId="2848DAA9" w14:textId="77777777" w:rsidR="00FA4A52" w:rsidRPr="009402DC" w:rsidRDefault="00FA4A52" w:rsidP="00FA4A52">
      <w:pPr>
        <w:pStyle w:val="IEEEPrafo"/>
        <w:jc w:val="center"/>
        <w:sectPr w:rsidR="00FA4A52" w:rsidRPr="009402DC" w:rsidSect="001F272E">
          <w:type w:val="continuous"/>
          <w:pgSz w:w="12240" w:h="15840" w:code="1"/>
          <w:pgMar w:top="1009" w:right="936" w:bottom="1134" w:left="936" w:header="431" w:footer="431" w:gutter="0"/>
          <w:cols w:space="284"/>
          <w:docGrid w:linePitch="360"/>
        </w:sectPr>
      </w:pPr>
    </w:p>
    <w:p w14:paraId="0DF95C3D" w14:textId="1F793A41" w:rsidR="00FA4A52" w:rsidRDefault="00FC252F" w:rsidP="00FA4A52">
      <w:pPr>
        <w:pStyle w:val="IEEEPrafo"/>
        <w:keepNext/>
        <w:ind w:left="-964"/>
      </w:pPr>
      <w:bookmarkStart w:id="6" w:name="Fig7"/>
      <w:r w:rsidRPr="00FC252F">
        <w:drawing>
          <wp:inline distT="0" distB="0" distL="0" distR="0" wp14:anchorId="08BC8437" wp14:editId="75E4AB1E">
            <wp:extent cx="7604760" cy="896317"/>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7664682" cy="903380"/>
                    </a:xfrm>
                    <a:prstGeom prst="rect">
                      <a:avLst/>
                    </a:prstGeom>
                  </pic:spPr>
                </pic:pic>
              </a:graphicData>
            </a:graphic>
          </wp:inline>
        </w:drawing>
      </w:r>
      <w:bookmarkEnd w:id="6"/>
    </w:p>
    <w:p w14:paraId="325457A5" w14:textId="3784C773" w:rsidR="00FA4A52" w:rsidRDefault="00FA4A52" w:rsidP="00FA4A52">
      <w:pPr>
        <w:pStyle w:val="IEEEPrafo"/>
        <w:jc w:val="center"/>
      </w:pPr>
      <w:r>
        <w:t xml:space="preserve">Fig.  </w:t>
      </w:r>
      <w:r>
        <w:fldChar w:fldCharType="begin"/>
      </w:r>
      <w:r>
        <w:instrText xml:space="preserve"> SEQ Fig._ \* ARABIC </w:instrText>
      </w:r>
      <w:r>
        <w:fldChar w:fldCharType="separate"/>
      </w:r>
      <w:r w:rsidR="00BA613F">
        <w:rPr>
          <w:noProof/>
        </w:rPr>
        <w:t>7</w:t>
      </w:r>
      <w:r>
        <w:fldChar w:fldCharType="end"/>
      </w:r>
      <w:r>
        <w:t xml:space="preserve">. Comparación del escenario 1 contra el escenario 2. Despacho con períodos de 15 minutos </w:t>
      </w:r>
      <w:r w:rsidRPr="009402DC">
        <w:fldChar w:fldCharType="begin" w:fldLock="1"/>
      </w:r>
      <w:r w:rsidRPr="009402DC">
        <w:instrText>ADDIN CSL_CITATION {"citationItems":[{"id":"ITEM-1","itemData":{"URL":"https://github.com/Xa4Mend/DespachoIntradiario/tree/SeminarioIntegradorUdeA","accessed":{"date-parts":[["2022","4","7"]]},"author":[{"dropping-particle":"","family":"Mendoza","given":"Javier","non-dropping-particle":"","parse-names":false,"suffix":""},{"dropping-particle":"","family":"Cerón","given":"Andrés","non-dropping-particle":"","parse-names":false,"suffix":""},{"dropping-particle":"","family":"Alvarez","given":"Vladimir","non-dropping-particle":"","parse-names":false,"suffix":""}],"id":"ITEM-1","issued":{"date-parts":[["2022"]]},"title":"Programa Despacho Intradiario","type":"webpage"},"uris":["http://www.mendeley.com/documents/?uuid=7de285a9-1238-4ad2-8258-16a86a285987"]}],"mendeley":{"formattedCitation":"[13]","plainTextFormattedCitation":"[13]"},"properties":{"noteIndex":0},"schema":"https://github.com/citation-style-language/schema/raw/master/csl-citation.json"}</w:instrText>
      </w:r>
      <w:r w:rsidRPr="009402DC">
        <w:fldChar w:fldCharType="separate"/>
      </w:r>
      <w:r w:rsidRPr="009402DC">
        <w:rPr>
          <w:noProof/>
        </w:rPr>
        <w:t>[13]</w:t>
      </w:r>
      <w:r w:rsidRPr="009402DC">
        <w:fldChar w:fldCharType="end"/>
      </w:r>
      <w:r>
        <w:t>.</w:t>
      </w:r>
    </w:p>
    <w:p w14:paraId="5B2E452A" w14:textId="330FD191" w:rsidR="00FA4A52" w:rsidRDefault="00FA4A52" w:rsidP="00FA4A52">
      <w:pPr>
        <w:pStyle w:val="IEEEPrafo"/>
      </w:pPr>
    </w:p>
    <w:p w14:paraId="5B39A19B" w14:textId="77777777" w:rsidR="008046DB" w:rsidRDefault="008046DB" w:rsidP="008046DB">
      <w:pPr>
        <w:pStyle w:val="IEEEPrafo"/>
        <w:keepNext/>
        <w:jc w:val="center"/>
        <w:sectPr w:rsidR="008046DB" w:rsidSect="00FA4A52">
          <w:type w:val="continuous"/>
          <w:pgSz w:w="12240" w:h="15840" w:code="1"/>
          <w:pgMar w:top="1009" w:right="936" w:bottom="1134" w:left="936" w:header="431" w:footer="431" w:gutter="0"/>
          <w:cols w:space="284"/>
          <w:docGrid w:linePitch="360"/>
        </w:sectPr>
      </w:pPr>
    </w:p>
    <w:p w14:paraId="1F6737C7" w14:textId="55D392D3" w:rsidR="008046DB" w:rsidRDefault="008046DB" w:rsidP="00FC252F">
      <w:pPr>
        <w:pStyle w:val="IEEEPrafo"/>
        <w:jc w:val="center"/>
      </w:pPr>
    </w:p>
    <w:sectPr w:rsidR="008046DB" w:rsidSect="00FC252F">
      <w:type w:val="continuous"/>
      <w:pgSz w:w="12240" w:h="15840" w:code="1"/>
      <w:pgMar w:top="1009" w:right="936" w:bottom="1134" w:left="936" w:header="431" w:footer="431" w:gutter="0"/>
      <w:cols w:space="28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31E1E7" w14:textId="77777777" w:rsidR="000352A9" w:rsidRDefault="000352A9" w:rsidP="00162308">
      <w:pPr>
        <w:spacing w:after="0" w:line="240" w:lineRule="auto"/>
      </w:pPr>
      <w:r>
        <w:separator/>
      </w:r>
    </w:p>
  </w:endnote>
  <w:endnote w:type="continuationSeparator" w:id="0">
    <w:p w14:paraId="32E5A1D0" w14:textId="77777777" w:rsidR="000352A9" w:rsidRDefault="000352A9" w:rsidP="001623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BB4331" w14:textId="77777777" w:rsidR="000352A9" w:rsidRDefault="000352A9" w:rsidP="00162308">
      <w:pPr>
        <w:spacing w:after="0" w:line="240" w:lineRule="auto"/>
      </w:pPr>
      <w:r>
        <w:separator/>
      </w:r>
    </w:p>
  </w:footnote>
  <w:footnote w:type="continuationSeparator" w:id="0">
    <w:p w14:paraId="458A5E87" w14:textId="77777777" w:rsidR="000352A9" w:rsidRDefault="000352A9" w:rsidP="001623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0D7AC0"/>
    <w:multiLevelType w:val="hybridMultilevel"/>
    <w:tmpl w:val="F6C20E20"/>
    <w:lvl w:ilvl="0" w:tplc="240A0001">
      <w:start w:val="1"/>
      <w:numFmt w:val="bullet"/>
      <w:lvlText w:val=""/>
      <w:lvlJc w:val="left"/>
      <w:pPr>
        <w:ind w:left="924" w:hanging="360"/>
      </w:pPr>
      <w:rPr>
        <w:rFonts w:ascii="Symbol" w:hAnsi="Symbol" w:hint="default"/>
      </w:rPr>
    </w:lvl>
    <w:lvl w:ilvl="1" w:tplc="240A0003" w:tentative="1">
      <w:start w:val="1"/>
      <w:numFmt w:val="bullet"/>
      <w:lvlText w:val="o"/>
      <w:lvlJc w:val="left"/>
      <w:pPr>
        <w:ind w:left="1644" w:hanging="360"/>
      </w:pPr>
      <w:rPr>
        <w:rFonts w:ascii="Courier New" w:hAnsi="Courier New" w:cs="Courier New" w:hint="default"/>
      </w:rPr>
    </w:lvl>
    <w:lvl w:ilvl="2" w:tplc="240A0005" w:tentative="1">
      <w:start w:val="1"/>
      <w:numFmt w:val="bullet"/>
      <w:lvlText w:val=""/>
      <w:lvlJc w:val="left"/>
      <w:pPr>
        <w:ind w:left="2364" w:hanging="360"/>
      </w:pPr>
      <w:rPr>
        <w:rFonts w:ascii="Wingdings" w:hAnsi="Wingdings" w:hint="default"/>
      </w:rPr>
    </w:lvl>
    <w:lvl w:ilvl="3" w:tplc="240A0001" w:tentative="1">
      <w:start w:val="1"/>
      <w:numFmt w:val="bullet"/>
      <w:lvlText w:val=""/>
      <w:lvlJc w:val="left"/>
      <w:pPr>
        <w:ind w:left="3084" w:hanging="360"/>
      </w:pPr>
      <w:rPr>
        <w:rFonts w:ascii="Symbol" w:hAnsi="Symbol" w:hint="default"/>
      </w:rPr>
    </w:lvl>
    <w:lvl w:ilvl="4" w:tplc="240A0003" w:tentative="1">
      <w:start w:val="1"/>
      <w:numFmt w:val="bullet"/>
      <w:lvlText w:val="o"/>
      <w:lvlJc w:val="left"/>
      <w:pPr>
        <w:ind w:left="3804" w:hanging="360"/>
      </w:pPr>
      <w:rPr>
        <w:rFonts w:ascii="Courier New" w:hAnsi="Courier New" w:cs="Courier New" w:hint="default"/>
      </w:rPr>
    </w:lvl>
    <w:lvl w:ilvl="5" w:tplc="240A0005" w:tentative="1">
      <w:start w:val="1"/>
      <w:numFmt w:val="bullet"/>
      <w:lvlText w:val=""/>
      <w:lvlJc w:val="left"/>
      <w:pPr>
        <w:ind w:left="4524" w:hanging="360"/>
      </w:pPr>
      <w:rPr>
        <w:rFonts w:ascii="Wingdings" w:hAnsi="Wingdings" w:hint="default"/>
      </w:rPr>
    </w:lvl>
    <w:lvl w:ilvl="6" w:tplc="240A0001" w:tentative="1">
      <w:start w:val="1"/>
      <w:numFmt w:val="bullet"/>
      <w:lvlText w:val=""/>
      <w:lvlJc w:val="left"/>
      <w:pPr>
        <w:ind w:left="5244" w:hanging="360"/>
      </w:pPr>
      <w:rPr>
        <w:rFonts w:ascii="Symbol" w:hAnsi="Symbol" w:hint="default"/>
      </w:rPr>
    </w:lvl>
    <w:lvl w:ilvl="7" w:tplc="240A0003" w:tentative="1">
      <w:start w:val="1"/>
      <w:numFmt w:val="bullet"/>
      <w:lvlText w:val="o"/>
      <w:lvlJc w:val="left"/>
      <w:pPr>
        <w:ind w:left="5964" w:hanging="360"/>
      </w:pPr>
      <w:rPr>
        <w:rFonts w:ascii="Courier New" w:hAnsi="Courier New" w:cs="Courier New" w:hint="default"/>
      </w:rPr>
    </w:lvl>
    <w:lvl w:ilvl="8" w:tplc="240A0005" w:tentative="1">
      <w:start w:val="1"/>
      <w:numFmt w:val="bullet"/>
      <w:lvlText w:val=""/>
      <w:lvlJc w:val="left"/>
      <w:pPr>
        <w:ind w:left="6684" w:hanging="360"/>
      </w:pPr>
      <w:rPr>
        <w:rFonts w:ascii="Wingdings" w:hAnsi="Wingdings" w:hint="default"/>
      </w:rPr>
    </w:lvl>
  </w:abstractNum>
  <w:abstractNum w:abstractNumId="1" w15:restartNumberingAfterBreak="0">
    <w:nsid w:val="425D2451"/>
    <w:multiLevelType w:val="hybridMultilevel"/>
    <w:tmpl w:val="A22C2414"/>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45965A0E"/>
    <w:multiLevelType w:val="hybridMultilevel"/>
    <w:tmpl w:val="3AA65C6A"/>
    <w:lvl w:ilvl="0" w:tplc="8D5C7FDA">
      <w:start w:val="1"/>
      <w:numFmt w:val="upp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3" w15:restartNumberingAfterBreak="0">
    <w:nsid w:val="46225924"/>
    <w:multiLevelType w:val="hybridMultilevel"/>
    <w:tmpl w:val="F5042354"/>
    <w:lvl w:ilvl="0" w:tplc="E81617C0">
      <w:numFmt w:val="bullet"/>
      <w:lvlText w:val="-"/>
      <w:lvlJc w:val="left"/>
      <w:pPr>
        <w:ind w:left="924" w:hanging="360"/>
      </w:pPr>
      <w:rPr>
        <w:rFonts w:ascii="Arial" w:eastAsia="Times New Roman" w:hAnsi="Arial" w:cs="Arial" w:hint="default"/>
      </w:rPr>
    </w:lvl>
    <w:lvl w:ilvl="1" w:tplc="240A0003" w:tentative="1">
      <w:start w:val="1"/>
      <w:numFmt w:val="bullet"/>
      <w:lvlText w:val="o"/>
      <w:lvlJc w:val="left"/>
      <w:pPr>
        <w:ind w:left="1644" w:hanging="360"/>
      </w:pPr>
      <w:rPr>
        <w:rFonts w:ascii="Courier New" w:hAnsi="Courier New" w:cs="Courier New" w:hint="default"/>
      </w:rPr>
    </w:lvl>
    <w:lvl w:ilvl="2" w:tplc="240A0005" w:tentative="1">
      <w:start w:val="1"/>
      <w:numFmt w:val="bullet"/>
      <w:lvlText w:val=""/>
      <w:lvlJc w:val="left"/>
      <w:pPr>
        <w:ind w:left="2364" w:hanging="360"/>
      </w:pPr>
      <w:rPr>
        <w:rFonts w:ascii="Wingdings" w:hAnsi="Wingdings" w:hint="default"/>
      </w:rPr>
    </w:lvl>
    <w:lvl w:ilvl="3" w:tplc="240A0001" w:tentative="1">
      <w:start w:val="1"/>
      <w:numFmt w:val="bullet"/>
      <w:lvlText w:val=""/>
      <w:lvlJc w:val="left"/>
      <w:pPr>
        <w:ind w:left="3084" w:hanging="360"/>
      </w:pPr>
      <w:rPr>
        <w:rFonts w:ascii="Symbol" w:hAnsi="Symbol" w:hint="default"/>
      </w:rPr>
    </w:lvl>
    <w:lvl w:ilvl="4" w:tplc="240A0003" w:tentative="1">
      <w:start w:val="1"/>
      <w:numFmt w:val="bullet"/>
      <w:lvlText w:val="o"/>
      <w:lvlJc w:val="left"/>
      <w:pPr>
        <w:ind w:left="3804" w:hanging="360"/>
      </w:pPr>
      <w:rPr>
        <w:rFonts w:ascii="Courier New" w:hAnsi="Courier New" w:cs="Courier New" w:hint="default"/>
      </w:rPr>
    </w:lvl>
    <w:lvl w:ilvl="5" w:tplc="240A0005" w:tentative="1">
      <w:start w:val="1"/>
      <w:numFmt w:val="bullet"/>
      <w:lvlText w:val=""/>
      <w:lvlJc w:val="left"/>
      <w:pPr>
        <w:ind w:left="4524" w:hanging="360"/>
      </w:pPr>
      <w:rPr>
        <w:rFonts w:ascii="Wingdings" w:hAnsi="Wingdings" w:hint="default"/>
      </w:rPr>
    </w:lvl>
    <w:lvl w:ilvl="6" w:tplc="240A0001" w:tentative="1">
      <w:start w:val="1"/>
      <w:numFmt w:val="bullet"/>
      <w:lvlText w:val=""/>
      <w:lvlJc w:val="left"/>
      <w:pPr>
        <w:ind w:left="5244" w:hanging="360"/>
      </w:pPr>
      <w:rPr>
        <w:rFonts w:ascii="Symbol" w:hAnsi="Symbol" w:hint="default"/>
      </w:rPr>
    </w:lvl>
    <w:lvl w:ilvl="7" w:tplc="240A0003" w:tentative="1">
      <w:start w:val="1"/>
      <w:numFmt w:val="bullet"/>
      <w:lvlText w:val="o"/>
      <w:lvlJc w:val="left"/>
      <w:pPr>
        <w:ind w:left="5964" w:hanging="360"/>
      </w:pPr>
      <w:rPr>
        <w:rFonts w:ascii="Courier New" w:hAnsi="Courier New" w:cs="Courier New" w:hint="default"/>
      </w:rPr>
    </w:lvl>
    <w:lvl w:ilvl="8" w:tplc="240A0005" w:tentative="1">
      <w:start w:val="1"/>
      <w:numFmt w:val="bullet"/>
      <w:lvlText w:val=""/>
      <w:lvlJc w:val="left"/>
      <w:pPr>
        <w:ind w:left="6684" w:hanging="360"/>
      </w:pPr>
      <w:rPr>
        <w:rFonts w:ascii="Wingdings" w:hAnsi="Wingdings" w:hint="default"/>
      </w:rPr>
    </w:lvl>
  </w:abstractNum>
  <w:abstractNum w:abstractNumId="4" w15:restartNumberingAfterBreak="0">
    <w:nsid w:val="47333003"/>
    <w:multiLevelType w:val="hybridMultilevel"/>
    <w:tmpl w:val="DADE1C00"/>
    <w:lvl w:ilvl="0" w:tplc="E81617C0">
      <w:numFmt w:val="bullet"/>
      <w:lvlText w:val="-"/>
      <w:lvlJc w:val="left"/>
      <w:pPr>
        <w:ind w:left="924" w:hanging="360"/>
      </w:pPr>
      <w:rPr>
        <w:rFonts w:ascii="Arial" w:eastAsia="Times New Roman" w:hAnsi="Arial" w:cs="Arial" w:hint="default"/>
      </w:rPr>
    </w:lvl>
    <w:lvl w:ilvl="1" w:tplc="240A0003" w:tentative="1">
      <w:start w:val="1"/>
      <w:numFmt w:val="bullet"/>
      <w:lvlText w:val="o"/>
      <w:lvlJc w:val="left"/>
      <w:pPr>
        <w:ind w:left="1644" w:hanging="360"/>
      </w:pPr>
      <w:rPr>
        <w:rFonts w:ascii="Courier New" w:hAnsi="Courier New" w:cs="Courier New" w:hint="default"/>
      </w:rPr>
    </w:lvl>
    <w:lvl w:ilvl="2" w:tplc="240A0005" w:tentative="1">
      <w:start w:val="1"/>
      <w:numFmt w:val="bullet"/>
      <w:lvlText w:val=""/>
      <w:lvlJc w:val="left"/>
      <w:pPr>
        <w:ind w:left="2364" w:hanging="360"/>
      </w:pPr>
      <w:rPr>
        <w:rFonts w:ascii="Wingdings" w:hAnsi="Wingdings" w:hint="default"/>
      </w:rPr>
    </w:lvl>
    <w:lvl w:ilvl="3" w:tplc="240A0001" w:tentative="1">
      <w:start w:val="1"/>
      <w:numFmt w:val="bullet"/>
      <w:lvlText w:val=""/>
      <w:lvlJc w:val="left"/>
      <w:pPr>
        <w:ind w:left="3084" w:hanging="360"/>
      </w:pPr>
      <w:rPr>
        <w:rFonts w:ascii="Symbol" w:hAnsi="Symbol" w:hint="default"/>
      </w:rPr>
    </w:lvl>
    <w:lvl w:ilvl="4" w:tplc="240A0003" w:tentative="1">
      <w:start w:val="1"/>
      <w:numFmt w:val="bullet"/>
      <w:lvlText w:val="o"/>
      <w:lvlJc w:val="left"/>
      <w:pPr>
        <w:ind w:left="3804" w:hanging="360"/>
      </w:pPr>
      <w:rPr>
        <w:rFonts w:ascii="Courier New" w:hAnsi="Courier New" w:cs="Courier New" w:hint="default"/>
      </w:rPr>
    </w:lvl>
    <w:lvl w:ilvl="5" w:tplc="240A0005" w:tentative="1">
      <w:start w:val="1"/>
      <w:numFmt w:val="bullet"/>
      <w:lvlText w:val=""/>
      <w:lvlJc w:val="left"/>
      <w:pPr>
        <w:ind w:left="4524" w:hanging="360"/>
      </w:pPr>
      <w:rPr>
        <w:rFonts w:ascii="Wingdings" w:hAnsi="Wingdings" w:hint="default"/>
      </w:rPr>
    </w:lvl>
    <w:lvl w:ilvl="6" w:tplc="240A0001" w:tentative="1">
      <w:start w:val="1"/>
      <w:numFmt w:val="bullet"/>
      <w:lvlText w:val=""/>
      <w:lvlJc w:val="left"/>
      <w:pPr>
        <w:ind w:left="5244" w:hanging="360"/>
      </w:pPr>
      <w:rPr>
        <w:rFonts w:ascii="Symbol" w:hAnsi="Symbol" w:hint="default"/>
      </w:rPr>
    </w:lvl>
    <w:lvl w:ilvl="7" w:tplc="240A0003" w:tentative="1">
      <w:start w:val="1"/>
      <w:numFmt w:val="bullet"/>
      <w:lvlText w:val="o"/>
      <w:lvlJc w:val="left"/>
      <w:pPr>
        <w:ind w:left="5964" w:hanging="360"/>
      </w:pPr>
      <w:rPr>
        <w:rFonts w:ascii="Courier New" w:hAnsi="Courier New" w:cs="Courier New" w:hint="default"/>
      </w:rPr>
    </w:lvl>
    <w:lvl w:ilvl="8" w:tplc="240A0005" w:tentative="1">
      <w:start w:val="1"/>
      <w:numFmt w:val="bullet"/>
      <w:lvlText w:val=""/>
      <w:lvlJc w:val="left"/>
      <w:pPr>
        <w:ind w:left="6684" w:hanging="360"/>
      </w:pPr>
      <w:rPr>
        <w:rFonts w:ascii="Wingdings" w:hAnsi="Wingdings" w:hint="default"/>
      </w:rPr>
    </w:lvl>
  </w:abstractNum>
  <w:abstractNum w:abstractNumId="5" w15:restartNumberingAfterBreak="0">
    <w:nsid w:val="4F0B274F"/>
    <w:multiLevelType w:val="multilevel"/>
    <w:tmpl w:val="FD5C6CFE"/>
    <w:lvl w:ilvl="0">
      <w:start w:val="1"/>
      <w:numFmt w:val="upperRoman"/>
      <w:pStyle w:val="IEEENivel1"/>
      <w:suff w:val="space"/>
      <w:lvlText w:val="%1."/>
      <w:lvlJc w:val="left"/>
      <w:pPr>
        <w:ind w:left="1559" w:firstLine="0"/>
      </w:pPr>
      <w:rPr>
        <w:rFonts w:hint="default"/>
      </w:rPr>
    </w:lvl>
    <w:lvl w:ilvl="1">
      <w:start w:val="1"/>
      <w:numFmt w:val="upperLetter"/>
      <w:pStyle w:val="IEEENivel2"/>
      <w:suff w:val="space"/>
      <w:lvlText w:val="%2."/>
      <w:lvlJc w:val="left"/>
      <w:pPr>
        <w:ind w:left="720" w:hanging="720"/>
      </w:pPr>
      <w:rPr>
        <w:rFonts w:hint="default"/>
        <w:sz w:val="20"/>
        <w:szCs w:val="20"/>
      </w:rPr>
    </w:lvl>
    <w:lvl w:ilvl="2">
      <w:start w:val="1"/>
      <w:numFmt w:val="decimal"/>
      <w:pStyle w:val="IEEENivel3"/>
      <w:suff w:val="space"/>
      <w:lvlText w:val="%3)"/>
      <w:lvlJc w:val="left"/>
      <w:pPr>
        <w:ind w:left="1440" w:hanging="1440"/>
      </w:pPr>
      <w:rPr>
        <w:rFonts w:hint="default"/>
      </w:rPr>
    </w:lvl>
    <w:lvl w:ilvl="3">
      <w:start w:val="1"/>
      <w:numFmt w:val="lowerLetter"/>
      <w:pStyle w:val="Ttulo4"/>
      <w:lvlText w:val="%4)"/>
      <w:lvlJc w:val="left"/>
      <w:pPr>
        <w:ind w:left="2160" w:firstLine="0"/>
      </w:pPr>
      <w:rPr>
        <w:rFonts w:hint="default"/>
      </w:rPr>
    </w:lvl>
    <w:lvl w:ilvl="4">
      <w:start w:val="1"/>
      <w:numFmt w:val="decimal"/>
      <w:pStyle w:val="Ttulo5"/>
      <w:lvlText w:val="(%5)"/>
      <w:lvlJc w:val="left"/>
      <w:pPr>
        <w:ind w:left="2880" w:firstLine="0"/>
      </w:pPr>
      <w:rPr>
        <w:rFonts w:hint="default"/>
      </w:rPr>
    </w:lvl>
    <w:lvl w:ilvl="5">
      <w:start w:val="1"/>
      <w:numFmt w:val="lowerLetter"/>
      <w:pStyle w:val="Ttulo6"/>
      <w:lvlText w:val="(%6)"/>
      <w:lvlJc w:val="left"/>
      <w:pPr>
        <w:ind w:left="3600" w:firstLine="0"/>
      </w:pPr>
      <w:rPr>
        <w:rFonts w:hint="default"/>
      </w:rPr>
    </w:lvl>
    <w:lvl w:ilvl="6">
      <w:start w:val="1"/>
      <w:numFmt w:val="lowerRoman"/>
      <w:pStyle w:val="Ttulo7"/>
      <w:lvlText w:val="(%7)"/>
      <w:lvlJc w:val="left"/>
      <w:pPr>
        <w:ind w:left="4320" w:firstLine="0"/>
      </w:pPr>
      <w:rPr>
        <w:rFonts w:hint="default"/>
      </w:rPr>
    </w:lvl>
    <w:lvl w:ilvl="7">
      <w:start w:val="1"/>
      <w:numFmt w:val="lowerLetter"/>
      <w:pStyle w:val="Ttulo8"/>
      <w:lvlText w:val="(%8)"/>
      <w:lvlJc w:val="left"/>
      <w:pPr>
        <w:ind w:left="5040" w:firstLine="0"/>
      </w:pPr>
      <w:rPr>
        <w:rFonts w:hint="default"/>
      </w:rPr>
    </w:lvl>
    <w:lvl w:ilvl="8">
      <w:start w:val="1"/>
      <w:numFmt w:val="lowerRoman"/>
      <w:pStyle w:val="Ttulo9"/>
      <w:lvlText w:val="(%9)"/>
      <w:lvlJc w:val="left"/>
      <w:pPr>
        <w:ind w:left="5760" w:firstLine="0"/>
      </w:pPr>
      <w:rPr>
        <w:rFonts w:hint="default"/>
      </w:rPr>
    </w:lvl>
  </w:abstractNum>
  <w:abstractNum w:abstractNumId="6" w15:restartNumberingAfterBreak="0">
    <w:nsid w:val="4F5C478C"/>
    <w:multiLevelType w:val="hybridMultilevel"/>
    <w:tmpl w:val="4B708528"/>
    <w:lvl w:ilvl="0" w:tplc="42D07A60">
      <w:start w:val="1"/>
      <w:numFmt w:val="upp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7" w15:restartNumberingAfterBreak="0">
    <w:nsid w:val="5DB3748E"/>
    <w:multiLevelType w:val="multilevel"/>
    <w:tmpl w:val="5D169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6"/>
  </w:num>
  <w:num w:numId="3">
    <w:abstractNumId w:val="2"/>
  </w:num>
  <w:num w:numId="4">
    <w:abstractNumId w:val="5"/>
  </w:num>
  <w:num w:numId="5">
    <w:abstractNumId w:val="7"/>
  </w:num>
  <w:num w:numId="6">
    <w:abstractNumId w:val="0"/>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B29"/>
    <w:rsid w:val="00000CB8"/>
    <w:rsid w:val="00003382"/>
    <w:rsid w:val="00007792"/>
    <w:rsid w:val="000120A5"/>
    <w:rsid w:val="0001398B"/>
    <w:rsid w:val="000151A9"/>
    <w:rsid w:val="00016875"/>
    <w:rsid w:val="0003520E"/>
    <w:rsid w:val="000352A9"/>
    <w:rsid w:val="000467FF"/>
    <w:rsid w:val="00052261"/>
    <w:rsid w:val="00053392"/>
    <w:rsid w:val="0006458E"/>
    <w:rsid w:val="00066790"/>
    <w:rsid w:val="0007794E"/>
    <w:rsid w:val="0009672A"/>
    <w:rsid w:val="000A76E9"/>
    <w:rsid w:val="000B059F"/>
    <w:rsid w:val="000B2743"/>
    <w:rsid w:val="000B276F"/>
    <w:rsid w:val="000B4456"/>
    <w:rsid w:val="000C23CA"/>
    <w:rsid w:val="000C34C9"/>
    <w:rsid w:val="000D1B39"/>
    <w:rsid w:val="000D6AB9"/>
    <w:rsid w:val="000E1AC5"/>
    <w:rsid w:val="000F28FB"/>
    <w:rsid w:val="00104A89"/>
    <w:rsid w:val="0010618B"/>
    <w:rsid w:val="00110DA1"/>
    <w:rsid w:val="00131D0E"/>
    <w:rsid w:val="00133B35"/>
    <w:rsid w:val="001411F3"/>
    <w:rsid w:val="00146B2F"/>
    <w:rsid w:val="00162308"/>
    <w:rsid w:val="001657B0"/>
    <w:rsid w:val="001733AD"/>
    <w:rsid w:val="001749C3"/>
    <w:rsid w:val="00192D1B"/>
    <w:rsid w:val="00196DBA"/>
    <w:rsid w:val="001B53AA"/>
    <w:rsid w:val="001B65D2"/>
    <w:rsid w:val="001B75EB"/>
    <w:rsid w:val="001B7701"/>
    <w:rsid w:val="001C3172"/>
    <w:rsid w:val="001E3298"/>
    <w:rsid w:val="001F272E"/>
    <w:rsid w:val="00206B06"/>
    <w:rsid w:val="00226319"/>
    <w:rsid w:val="00231412"/>
    <w:rsid w:val="00231564"/>
    <w:rsid w:val="00237124"/>
    <w:rsid w:val="00241BD7"/>
    <w:rsid w:val="00245612"/>
    <w:rsid w:val="00246C48"/>
    <w:rsid w:val="00250A12"/>
    <w:rsid w:val="00256BC6"/>
    <w:rsid w:val="00260D85"/>
    <w:rsid w:val="002941E0"/>
    <w:rsid w:val="002D65E4"/>
    <w:rsid w:val="002E2FEC"/>
    <w:rsid w:val="002F09E9"/>
    <w:rsid w:val="002F160D"/>
    <w:rsid w:val="00312F31"/>
    <w:rsid w:val="003240B9"/>
    <w:rsid w:val="00325061"/>
    <w:rsid w:val="00334E9C"/>
    <w:rsid w:val="00343641"/>
    <w:rsid w:val="00364A42"/>
    <w:rsid w:val="003663D5"/>
    <w:rsid w:val="003702CD"/>
    <w:rsid w:val="00372126"/>
    <w:rsid w:val="003759D8"/>
    <w:rsid w:val="003765CF"/>
    <w:rsid w:val="00376A6C"/>
    <w:rsid w:val="00377F41"/>
    <w:rsid w:val="003836F3"/>
    <w:rsid w:val="00390586"/>
    <w:rsid w:val="0039479F"/>
    <w:rsid w:val="003A0540"/>
    <w:rsid w:val="003B6996"/>
    <w:rsid w:val="003E3D10"/>
    <w:rsid w:val="00401C40"/>
    <w:rsid w:val="0040433B"/>
    <w:rsid w:val="00410EE3"/>
    <w:rsid w:val="00411FFF"/>
    <w:rsid w:val="00421225"/>
    <w:rsid w:val="0042452D"/>
    <w:rsid w:val="00425B81"/>
    <w:rsid w:val="00434033"/>
    <w:rsid w:val="00436936"/>
    <w:rsid w:val="00443ACD"/>
    <w:rsid w:val="00447F4C"/>
    <w:rsid w:val="004770FF"/>
    <w:rsid w:val="00477432"/>
    <w:rsid w:val="00495BAF"/>
    <w:rsid w:val="00496F5C"/>
    <w:rsid w:val="004B734C"/>
    <w:rsid w:val="004C6BF6"/>
    <w:rsid w:val="004D414E"/>
    <w:rsid w:val="004E26D2"/>
    <w:rsid w:val="004E525F"/>
    <w:rsid w:val="004F6628"/>
    <w:rsid w:val="00513ECE"/>
    <w:rsid w:val="00515E06"/>
    <w:rsid w:val="00516D9D"/>
    <w:rsid w:val="00517F4E"/>
    <w:rsid w:val="00536B29"/>
    <w:rsid w:val="0054060F"/>
    <w:rsid w:val="005437B5"/>
    <w:rsid w:val="005441A6"/>
    <w:rsid w:val="005471FD"/>
    <w:rsid w:val="00552DBD"/>
    <w:rsid w:val="00554BA3"/>
    <w:rsid w:val="00560181"/>
    <w:rsid w:val="00561B48"/>
    <w:rsid w:val="00565015"/>
    <w:rsid w:val="00566AAC"/>
    <w:rsid w:val="0056788A"/>
    <w:rsid w:val="00571132"/>
    <w:rsid w:val="00572751"/>
    <w:rsid w:val="00586088"/>
    <w:rsid w:val="0058684B"/>
    <w:rsid w:val="0058774D"/>
    <w:rsid w:val="00597460"/>
    <w:rsid w:val="005A1D6B"/>
    <w:rsid w:val="005B0AF7"/>
    <w:rsid w:val="005B3366"/>
    <w:rsid w:val="005C1CEE"/>
    <w:rsid w:val="005C6D71"/>
    <w:rsid w:val="005E39C8"/>
    <w:rsid w:val="005E783E"/>
    <w:rsid w:val="005F5F80"/>
    <w:rsid w:val="00613A43"/>
    <w:rsid w:val="00620CA2"/>
    <w:rsid w:val="006229A5"/>
    <w:rsid w:val="00636F59"/>
    <w:rsid w:val="00665AC8"/>
    <w:rsid w:val="0067092E"/>
    <w:rsid w:val="00676BB0"/>
    <w:rsid w:val="0068185E"/>
    <w:rsid w:val="006919CB"/>
    <w:rsid w:val="00694A01"/>
    <w:rsid w:val="006976E4"/>
    <w:rsid w:val="006B6D2B"/>
    <w:rsid w:val="006D4E69"/>
    <w:rsid w:val="006E5111"/>
    <w:rsid w:val="00701280"/>
    <w:rsid w:val="00702907"/>
    <w:rsid w:val="007108C7"/>
    <w:rsid w:val="00711CF6"/>
    <w:rsid w:val="00712FBE"/>
    <w:rsid w:val="007133FB"/>
    <w:rsid w:val="00720A00"/>
    <w:rsid w:val="0072130B"/>
    <w:rsid w:val="00723287"/>
    <w:rsid w:val="0072714F"/>
    <w:rsid w:val="007303AB"/>
    <w:rsid w:val="00732B54"/>
    <w:rsid w:val="00742320"/>
    <w:rsid w:val="0074261C"/>
    <w:rsid w:val="00755071"/>
    <w:rsid w:val="00764295"/>
    <w:rsid w:val="00765C52"/>
    <w:rsid w:val="00776708"/>
    <w:rsid w:val="00780578"/>
    <w:rsid w:val="007815D7"/>
    <w:rsid w:val="00786A1C"/>
    <w:rsid w:val="00793DF1"/>
    <w:rsid w:val="007A0BDE"/>
    <w:rsid w:val="007B3564"/>
    <w:rsid w:val="007D1DD4"/>
    <w:rsid w:val="007D2615"/>
    <w:rsid w:val="007E1DC7"/>
    <w:rsid w:val="007E6888"/>
    <w:rsid w:val="007F7EB0"/>
    <w:rsid w:val="008024E7"/>
    <w:rsid w:val="008037A1"/>
    <w:rsid w:val="008046DB"/>
    <w:rsid w:val="00813969"/>
    <w:rsid w:val="00815D4D"/>
    <w:rsid w:val="0082536D"/>
    <w:rsid w:val="00830288"/>
    <w:rsid w:val="008351E7"/>
    <w:rsid w:val="00844E72"/>
    <w:rsid w:val="00846334"/>
    <w:rsid w:val="0086127A"/>
    <w:rsid w:val="0086747C"/>
    <w:rsid w:val="008804AD"/>
    <w:rsid w:val="00881916"/>
    <w:rsid w:val="00896EBF"/>
    <w:rsid w:val="008A5D84"/>
    <w:rsid w:val="008C5A98"/>
    <w:rsid w:val="008D7146"/>
    <w:rsid w:val="00903F54"/>
    <w:rsid w:val="00911A22"/>
    <w:rsid w:val="009252F2"/>
    <w:rsid w:val="00926828"/>
    <w:rsid w:val="00926868"/>
    <w:rsid w:val="0093098A"/>
    <w:rsid w:val="0093336F"/>
    <w:rsid w:val="00936468"/>
    <w:rsid w:val="009402DC"/>
    <w:rsid w:val="0094169A"/>
    <w:rsid w:val="0094496B"/>
    <w:rsid w:val="00951DC0"/>
    <w:rsid w:val="0096328B"/>
    <w:rsid w:val="00971CAD"/>
    <w:rsid w:val="0098025E"/>
    <w:rsid w:val="0098797E"/>
    <w:rsid w:val="00996777"/>
    <w:rsid w:val="009B1D44"/>
    <w:rsid w:val="009B6A7B"/>
    <w:rsid w:val="009C1432"/>
    <w:rsid w:val="009C1817"/>
    <w:rsid w:val="009C6B22"/>
    <w:rsid w:val="009D08D4"/>
    <w:rsid w:val="009D3191"/>
    <w:rsid w:val="009E1F3C"/>
    <w:rsid w:val="009E3725"/>
    <w:rsid w:val="00A051C1"/>
    <w:rsid w:val="00A07C97"/>
    <w:rsid w:val="00A129B6"/>
    <w:rsid w:val="00A166DD"/>
    <w:rsid w:val="00A205EF"/>
    <w:rsid w:val="00A212CC"/>
    <w:rsid w:val="00A214F5"/>
    <w:rsid w:val="00A47574"/>
    <w:rsid w:val="00A60496"/>
    <w:rsid w:val="00A659C9"/>
    <w:rsid w:val="00A73B05"/>
    <w:rsid w:val="00A74676"/>
    <w:rsid w:val="00A76E9B"/>
    <w:rsid w:val="00A87523"/>
    <w:rsid w:val="00A90C5B"/>
    <w:rsid w:val="00A91FD5"/>
    <w:rsid w:val="00A94EC2"/>
    <w:rsid w:val="00A962E3"/>
    <w:rsid w:val="00AA5528"/>
    <w:rsid w:val="00AA5BBF"/>
    <w:rsid w:val="00AB059F"/>
    <w:rsid w:val="00AB25D1"/>
    <w:rsid w:val="00AC018B"/>
    <w:rsid w:val="00AC6A91"/>
    <w:rsid w:val="00AD1969"/>
    <w:rsid w:val="00AD5FEA"/>
    <w:rsid w:val="00AD7B05"/>
    <w:rsid w:val="00AE0C8E"/>
    <w:rsid w:val="00AE6A52"/>
    <w:rsid w:val="00AF1083"/>
    <w:rsid w:val="00AF4001"/>
    <w:rsid w:val="00AF47E3"/>
    <w:rsid w:val="00B010EB"/>
    <w:rsid w:val="00B065EC"/>
    <w:rsid w:val="00B15950"/>
    <w:rsid w:val="00B35BB6"/>
    <w:rsid w:val="00B50D38"/>
    <w:rsid w:val="00B516A2"/>
    <w:rsid w:val="00B57009"/>
    <w:rsid w:val="00B60142"/>
    <w:rsid w:val="00B667C2"/>
    <w:rsid w:val="00B82808"/>
    <w:rsid w:val="00B85039"/>
    <w:rsid w:val="00B86635"/>
    <w:rsid w:val="00B917C1"/>
    <w:rsid w:val="00BA575A"/>
    <w:rsid w:val="00BA613F"/>
    <w:rsid w:val="00BB7C54"/>
    <w:rsid w:val="00BD1FEF"/>
    <w:rsid w:val="00BD351B"/>
    <w:rsid w:val="00BF01C4"/>
    <w:rsid w:val="00BF3636"/>
    <w:rsid w:val="00BF65E2"/>
    <w:rsid w:val="00C03311"/>
    <w:rsid w:val="00C11D01"/>
    <w:rsid w:val="00C22F56"/>
    <w:rsid w:val="00C35904"/>
    <w:rsid w:val="00C35A76"/>
    <w:rsid w:val="00C453C9"/>
    <w:rsid w:val="00C502EC"/>
    <w:rsid w:val="00C73263"/>
    <w:rsid w:val="00C77F5B"/>
    <w:rsid w:val="00C8181E"/>
    <w:rsid w:val="00C8349E"/>
    <w:rsid w:val="00C9319D"/>
    <w:rsid w:val="00C9353F"/>
    <w:rsid w:val="00CA2F72"/>
    <w:rsid w:val="00CA46FA"/>
    <w:rsid w:val="00CA52CE"/>
    <w:rsid w:val="00CA53BA"/>
    <w:rsid w:val="00CC350D"/>
    <w:rsid w:val="00CC3B44"/>
    <w:rsid w:val="00CC51F4"/>
    <w:rsid w:val="00CD1256"/>
    <w:rsid w:val="00CD75E6"/>
    <w:rsid w:val="00CE0465"/>
    <w:rsid w:val="00CE2D3E"/>
    <w:rsid w:val="00CF10E8"/>
    <w:rsid w:val="00CF5292"/>
    <w:rsid w:val="00D03CB8"/>
    <w:rsid w:val="00D041A5"/>
    <w:rsid w:val="00D06C76"/>
    <w:rsid w:val="00D17475"/>
    <w:rsid w:val="00D27FF7"/>
    <w:rsid w:val="00D31447"/>
    <w:rsid w:val="00D44F8D"/>
    <w:rsid w:val="00D57BD2"/>
    <w:rsid w:val="00D65165"/>
    <w:rsid w:val="00D70E4E"/>
    <w:rsid w:val="00D71971"/>
    <w:rsid w:val="00D71BF6"/>
    <w:rsid w:val="00D80986"/>
    <w:rsid w:val="00D817D1"/>
    <w:rsid w:val="00DA1992"/>
    <w:rsid w:val="00DB657B"/>
    <w:rsid w:val="00DC0297"/>
    <w:rsid w:val="00DC1C37"/>
    <w:rsid w:val="00DC2EEE"/>
    <w:rsid w:val="00DC5DF2"/>
    <w:rsid w:val="00DD2D6D"/>
    <w:rsid w:val="00DE295E"/>
    <w:rsid w:val="00DE3A8A"/>
    <w:rsid w:val="00DF0E48"/>
    <w:rsid w:val="00DF22BE"/>
    <w:rsid w:val="00E00127"/>
    <w:rsid w:val="00E0369F"/>
    <w:rsid w:val="00E055B0"/>
    <w:rsid w:val="00E2706A"/>
    <w:rsid w:val="00E33089"/>
    <w:rsid w:val="00E47087"/>
    <w:rsid w:val="00E52B72"/>
    <w:rsid w:val="00E55A33"/>
    <w:rsid w:val="00E61735"/>
    <w:rsid w:val="00E65172"/>
    <w:rsid w:val="00E75E35"/>
    <w:rsid w:val="00E80864"/>
    <w:rsid w:val="00E84536"/>
    <w:rsid w:val="00EA15D4"/>
    <w:rsid w:val="00EA4F50"/>
    <w:rsid w:val="00EB5796"/>
    <w:rsid w:val="00EB7653"/>
    <w:rsid w:val="00EC44C8"/>
    <w:rsid w:val="00ED5E09"/>
    <w:rsid w:val="00EF7C6A"/>
    <w:rsid w:val="00F0048D"/>
    <w:rsid w:val="00F03905"/>
    <w:rsid w:val="00F0765E"/>
    <w:rsid w:val="00F1138B"/>
    <w:rsid w:val="00F30AAE"/>
    <w:rsid w:val="00F43168"/>
    <w:rsid w:val="00F57415"/>
    <w:rsid w:val="00F65BD4"/>
    <w:rsid w:val="00F92246"/>
    <w:rsid w:val="00F94E14"/>
    <w:rsid w:val="00FA1ABC"/>
    <w:rsid w:val="00FA4A52"/>
    <w:rsid w:val="00FA7565"/>
    <w:rsid w:val="00FC0EDE"/>
    <w:rsid w:val="00FC252F"/>
    <w:rsid w:val="00FC2EA9"/>
    <w:rsid w:val="00FC3988"/>
    <w:rsid w:val="00FC4419"/>
    <w:rsid w:val="00FC5BD5"/>
    <w:rsid w:val="00FC7615"/>
    <w:rsid w:val="00FD4AC0"/>
    <w:rsid w:val="00FD6A88"/>
    <w:rsid w:val="00FD76B4"/>
    <w:rsid w:val="00FE3D9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414C62"/>
  <w15:docId w15:val="{90651C2D-7CA5-4CEE-BD07-2B6E6FD5D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4E14"/>
  </w:style>
  <w:style w:type="paragraph" w:styleId="Ttulo1">
    <w:name w:val="heading 1"/>
    <w:basedOn w:val="Normal"/>
    <w:next w:val="Normal"/>
    <w:link w:val="Ttulo1Car"/>
    <w:uiPriority w:val="9"/>
    <w:qFormat/>
    <w:rsid w:val="00D174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D1747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D1747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D17475"/>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D17475"/>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D17475"/>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D17475"/>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D17475"/>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D17475"/>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80986"/>
    <w:pPr>
      <w:ind w:left="720"/>
      <w:contextualSpacing/>
    </w:pPr>
  </w:style>
  <w:style w:type="paragraph" w:customStyle="1" w:styleId="IEEE">
    <w:name w:val="IEEE"/>
    <w:link w:val="IEEECar"/>
    <w:qFormat/>
    <w:rsid w:val="0094496B"/>
    <w:pPr>
      <w:spacing w:after="0"/>
      <w:jc w:val="both"/>
    </w:pPr>
    <w:rPr>
      <w:rFonts w:ascii="Times New Roman" w:hAnsi="Times New Roman" w:cs="Times New Roman"/>
      <w:i/>
      <w:iCs/>
      <w:sz w:val="20"/>
      <w:szCs w:val="20"/>
      <w:lang w:val="es-ES"/>
    </w:rPr>
  </w:style>
  <w:style w:type="paragraph" w:customStyle="1" w:styleId="IEEEPrafo">
    <w:name w:val="IEEE Párafo"/>
    <w:basedOn w:val="IEEE"/>
    <w:link w:val="IEEEPrafoCar"/>
    <w:qFormat/>
    <w:rsid w:val="008A5D84"/>
    <w:pPr>
      <w:spacing w:line="252" w:lineRule="auto"/>
      <w:ind w:firstLine="204"/>
    </w:pPr>
    <w:rPr>
      <w:i w:val="0"/>
    </w:rPr>
  </w:style>
  <w:style w:type="character" w:customStyle="1" w:styleId="IEEECar">
    <w:name w:val="IEEE Car"/>
    <w:basedOn w:val="Fuentedeprrafopredeter"/>
    <w:link w:val="IEEE"/>
    <w:rsid w:val="0094496B"/>
    <w:rPr>
      <w:rFonts w:ascii="Times New Roman" w:hAnsi="Times New Roman" w:cs="Times New Roman"/>
      <w:i/>
      <w:iCs/>
      <w:sz w:val="20"/>
      <w:szCs w:val="20"/>
      <w:lang w:val="es-ES"/>
    </w:rPr>
  </w:style>
  <w:style w:type="paragraph" w:customStyle="1" w:styleId="IEEENivel1">
    <w:name w:val="IEEE Nivel 1"/>
    <w:basedOn w:val="IEEE"/>
    <w:next w:val="IEEEPrafo"/>
    <w:link w:val="IEEENivel1Car"/>
    <w:qFormat/>
    <w:rsid w:val="00104A89"/>
    <w:pPr>
      <w:numPr>
        <w:numId w:val="4"/>
      </w:numPr>
      <w:spacing w:before="240" w:after="80" w:line="240" w:lineRule="auto"/>
      <w:ind w:left="0"/>
      <w:jc w:val="center"/>
      <w:outlineLvl w:val="0"/>
    </w:pPr>
    <w:rPr>
      <w:i w:val="0"/>
    </w:rPr>
  </w:style>
  <w:style w:type="character" w:customStyle="1" w:styleId="IEEEPrafoCar">
    <w:name w:val="IEEE Párafo Car"/>
    <w:basedOn w:val="IEEECar"/>
    <w:link w:val="IEEEPrafo"/>
    <w:rsid w:val="008A5D84"/>
    <w:rPr>
      <w:rFonts w:ascii="Times New Roman" w:hAnsi="Times New Roman" w:cs="Times New Roman"/>
      <w:i w:val="0"/>
      <w:iCs/>
      <w:sz w:val="20"/>
      <w:szCs w:val="20"/>
      <w:lang w:val="es-ES"/>
    </w:rPr>
  </w:style>
  <w:style w:type="paragraph" w:customStyle="1" w:styleId="IEEENivel2">
    <w:name w:val="IEEE Nivel 2"/>
    <w:basedOn w:val="IEEE"/>
    <w:next w:val="IEEEPrafo"/>
    <w:link w:val="IEEENivel2Car"/>
    <w:qFormat/>
    <w:rsid w:val="00104A89"/>
    <w:pPr>
      <w:numPr>
        <w:ilvl w:val="1"/>
        <w:numId w:val="4"/>
      </w:numPr>
      <w:spacing w:before="120" w:after="60" w:line="240" w:lineRule="auto"/>
      <w:ind w:left="0" w:firstLine="0"/>
      <w:jc w:val="left"/>
      <w:outlineLvl w:val="1"/>
    </w:pPr>
  </w:style>
  <w:style w:type="character" w:customStyle="1" w:styleId="IEEENivel1Car">
    <w:name w:val="IEEE Nivel 1 Car"/>
    <w:basedOn w:val="IEEECar"/>
    <w:link w:val="IEEENivel1"/>
    <w:rsid w:val="00104A89"/>
    <w:rPr>
      <w:rFonts w:ascii="Times New Roman" w:hAnsi="Times New Roman" w:cs="Times New Roman"/>
      <w:i w:val="0"/>
      <w:iCs/>
      <w:sz w:val="20"/>
      <w:szCs w:val="20"/>
      <w:lang w:val="es-ES"/>
    </w:rPr>
  </w:style>
  <w:style w:type="paragraph" w:customStyle="1" w:styleId="IEEENivel3">
    <w:name w:val="IEEE Nivel 3"/>
    <w:basedOn w:val="IEEE"/>
    <w:next w:val="IEEEPrafo"/>
    <w:link w:val="IEEENivel3Car"/>
    <w:qFormat/>
    <w:rsid w:val="00CA2F72"/>
    <w:pPr>
      <w:numPr>
        <w:ilvl w:val="2"/>
        <w:numId w:val="4"/>
      </w:numPr>
      <w:spacing w:line="240" w:lineRule="auto"/>
      <w:ind w:left="0" w:firstLine="0"/>
      <w:jc w:val="left"/>
      <w:outlineLvl w:val="2"/>
    </w:pPr>
  </w:style>
  <w:style w:type="character" w:customStyle="1" w:styleId="IEEENivel2Car">
    <w:name w:val="IEEE Nivel 2 Car"/>
    <w:basedOn w:val="IEEECar"/>
    <w:link w:val="IEEENivel2"/>
    <w:rsid w:val="00104A89"/>
    <w:rPr>
      <w:rFonts w:ascii="Times New Roman" w:hAnsi="Times New Roman" w:cs="Times New Roman"/>
      <w:i/>
      <w:iCs/>
      <w:sz w:val="20"/>
      <w:szCs w:val="20"/>
      <w:lang w:val="es-ES"/>
    </w:rPr>
  </w:style>
  <w:style w:type="table" w:customStyle="1" w:styleId="IEEETabla">
    <w:name w:val="IEEE Tabla"/>
    <w:basedOn w:val="Tablanormal"/>
    <w:uiPriority w:val="99"/>
    <w:rsid w:val="00F0765E"/>
    <w:pPr>
      <w:spacing w:after="0" w:line="240" w:lineRule="auto"/>
    </w:pPr>
    <w:tblPr>
      <w:tblBorders>
        <w:top w:val="double" w:sz="4" w:space="0" w:color="auto"/>
        <w:bottom w:val="double" w:sz="4" w:space="0" w:color="auto"/>
      </w:tblBorders>
    </w:tblPr>
    <w:tblStylePr w:type="firstRow">
      <w:rPr>
        <w:rFonts w:ascii="Times New Roman" w:hAnsi="Times New Roman"/>
        <w:sz w:val="16"/>
      </w:rPr>
      <w:tblPr/>
      <w:tcPr>
        <w:tcBorders>
          <w:bottom w:val="single" w:sz="4" w:space="0" w:color="auto"/>
        </w:tcBorders>
      </w:tcPr>
    </w:tblStylePr>
  </w:style>
  <w:style w:type="character" w:customStyle="1" w:styleId="IEEENivel3Car">
    <w:name w:val="IEEE Nivel 3 Car"/>
    <w:basedOn w:val="IEEECar"/>
    <w:link w:val="IEEENivel3"/>
    <w:rsid w:val="00CA2F72"/>
    <w:rPr>
      <w:rFonts w:ascii="Times New Roman" w:hAnsi="Times New Roman" w:cs="Times New Roman"/>
      <w:i/>
      <w:iCs/>
      <w:sz w:val="20"/>
      <w:szCs w:val="20"/>
      <w:lang w:val="es-ES"/>
    </w:rPr>
  </w:style>
  <w:style w:type="character" w:customStyle="1" w:styleId="Ttulo1Car">
    <w:name w:val="Título 1 Car"/>
    <w:basedOn w:val="Fuentedeprrafopredeter"/>
    <w:link w:val="Ttulo1"/>
    <w:uiPriority w:val="9"/>
    <w:rsid w:val="00D17475"/>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semiHidden/>
    <w:rsid w:val="00D17475"/>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D17475"/>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semiHidden/>
    <w:rsid w:val="00D17475"/>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semiHidden/>
    <w:rsid w:val="00D17475"/>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semiHidden/>
    <w:rsid w:val="00D17475"/>
    <w:rPr>
      <w:rFonts w:asciiTheme="majorHAnsi" w:eastAsiaTheme="majorEastAsia" w:hAnsiTheme="majorHAnsi" w:cstheme="majorBidi"/>
      <w:color w:val="1F3763" w:themeColor="accent1" w:themeShade="7F"/>
    </w:rPr>
  </w:style>
  <w:style w:type="character" w:customStyle="1" w:styleId="Ttulo7Car">
    <w:name w:val="Título 7 Car"/>
    <w:basedOn w:val="Fuentedeprrafopredeter"/>
    <w:link w:val="Ttulo7"/>
    <w:uiPriority w:val="9"/>
    <w:semiHidden/>
    <w:rsid w:val="00D17475"/>
    <w:rPr>
      <w:rFonts w:asciiTheme="majorHAnsi" w:eastAsiaTheme="majorEastAsia" w:hAnsiTheme="majorHAnsi" w:cstheme="majorBidi"/>
      <w:i/>
      <w:iCs/>
      <w:color w:val="1F3763" w:themeColor="accent1" w:themeShade="7F"/>
    </w:rPr>
  </w:style>
  <w:style w:type="character" w:customStyle="1" w:styleId="Ttulo8Car">
    <w:name w:val="Título 8 Car"/>
    <w:basedOn w:val="Fuentedeprrafopredeter"/>
    <w:link w:val="Ttulo8"/>
    <w:uiPriority w:val="9"/>
    <w:semiHidden/>
    <w:rsid w:val="00D17475"/>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D17475"/>
    <w:rPr>
      <w:rFonts w:asciiTheme="majorHAnsi" w:eastAsiaTheme="majorEastAsia" w:hAnsiTheme="majorHAnsi" w:cstheme="majorBidi"/>
      <w:i/>
      <w:iCs/>
      <w:color w:val="272727" w:themeColor="text1" w:themeTint="D8"/>
      <w:sz w:val="21"/>
      <w:szCs w:val="21"/>
    </w:rPr>
  </w:style>
  <w:style w:type="paragraph" w:styleId="Ttulo">
    <w:name w:val="Title"/>
    <w:basedOn w:val="Normal"/>
    <w:next w:val="Normal"/>
    <w:link w:val="TtuloCar"/>
    <w:uiPriority w:val="10"/>
    <w:qFormat/>
    <w:rsid w:val="0057275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72751"/>
    <w:rPr>
      <w:rFonts w:asciiTheme="majorHAnsi" w:eastAsiaTheme="majorEastAsia" w:hAnsiTheme="majorHAnsi" w:cstheme="majorBidi"/>
      <w:spacing w:val="-10"/>
      <w:kern w:val="28"/>
      <w:sz w:val="56"/>
      <w:szCs w:val="56"/>
    </w:rPr>
  </w:style>
  <w:style w:type="paragraph" w:customStyle="1" w:styleId="Ttulos">
    <w:name w:val="Títulos"/>
    <w:next w:val="Normal"/>
    <w:link w:val="TtulosCar"/>
    <w:qFormat/>
    <w:rsid w:val="00CC51F4"/>
    <w:pPr>
      <w:jc w:val="center"/>
    </w:pPr>
    <w:rPr>
      <w:rFonts w:ascii="Times New Roman" w:hAnsi="Times New Roman"/>
      <w:sz w:val="40"/>
    </w:rPr>
  </w:style>
  <w:style w:type="character" w:customStyle="1" w:styleId="TtulosCar">
    <w:name w:val="Títulos Car"/>
    <w:basedOn w:val="Fuentedeprrafopredeter"/>
    <w:link w:val="Ttulos"/>
    <w:rsid w:val="00CC51F4"/>
    <w:rPr>
      <w:rFonts w:ascii="Times New Roman" w:hAnsi="Times New Roman"/>
      <w:sz w:val="40"/>
    </w:rPr>
  </w:style>
  <w:style w:type="paragraph" w:customStyle="1" w:styleId="IEEEResumenypalabrasclave">
    <w:name w:val="IEEE Resumen y palabras clave"/>
    <w:basedOn w:val="IEEEPrafo"/>
    <w:next w:val="IEEEPrafo"/>
    <w:link w:val="IEEEResumenypalabrasclaveCar"/>
    <w:qFormat/>
    <w:rsid w:val="00CA2F72"/>
    <w:pPr>
      <w:spacing w:line="240" w:lineRule="auto"/>
    </w:pPr>
    <w:rPr>
      <w:b/>
      <w:sz w:val="18"/>
    </w:rPr>
  </w:style>
  <w:style w:type="paragraph" w:customStyle="1" w:styleId="IEEEDatosAutores">
    <w:name w:val="IEEE Datos Autores"/>
    <w:basedOn w:val="IEEEPrafo"/>
    <w:next w:val="IEEEPrafo"/>
    <w:link w:val="IEEEDatosAutoresCar"/>
    <w:qFormat/>
    <w:rsid w:val="00EB5796"/>
    <w:rPr>
      <w:sz w:val="16"/>
    </w:rPr>
  </w:style>
  <w:style w:type="character" w:customStyle="1" w:styleId="IEEEResumenypalabrasclaveCar">
    <w:name w:val="IEEE Resumen y palabras clave Car"/>
    <w:basedOn w:val="IEEEPrafoCar"/>
    <w:link w:val="IEEEResumenypalabrasclave"/>
    <w:rsid w:val="00CA2F72"/>
    <w:rPr>
      <w:rFonts w:ascii="Times New Roman" w:hAnsi="Times New Roman" w:cs="Times New Roman"/>
      <w:b/>
      <w:i w:val="0"/>
      <w:iCs/>
      <w:sz w:val="18"/>
      <w:szCs w:val="20"/>
      <w:lang w:val="es-ES"/>
    </w:rPr>
  </w:style>
  <w:style w:type="paragraph" w:customStyle="1" w:styleId="IEEELetraTablas">
    <w:name w:val="IEEE Letra Tablas"/>
    <w:basedOn w:val="IEEE"/>
    <w:link w:val="IEEELetraTablasCar"/>
    <w:qFormat/>
    <w:rsid w:val="006E5111"/>
    <w:pPr>
      <w:jc w:val="center"/>
    </w:pPr>
    <w:rPr>
      <w:i w:val="0"/>
      <w:sz w:val="16"/>
    </w:rPr>
  </w:style>
  <w:style w:type="character" w:customStyle="1" w:styleId="IEEEDatosAutoresCar">
    <w:name w:val="IEEE Datos Autores Car"/>
    <w:basedOn w:val="IEEEPrafoCar"/>
    <w:link w:val="IEEEDatosAutores"/>
    <w:rsid w:val="00EB5796"/>
    <w:rPr>
      <w:rFonts w:ascii="Times New Roman" w:hAnsi="Times New Roman" w:cs="Times New Roman"/>
      <w:i w:val="0"/>
      <w:iCs/>
      <w:sz w:val="16"/>
      <w:szCs w:val="20"/>
      <w:lang w:val="es-ES"/>
    </w:rPr>
  </w:style>
  <w:style w:type="character" w:customStyle="1" w:styleId="IEEELetraTablasCar">
    <w:name w:val="IEEE Letra Tablas Car"/>
    <w:basedOn w:val="IEEECar"/>
    <w:link w:val="IEEELetraTablas"/>
    <w:rsid w:val="006E5111"/>
    <w:rPr>
      <w:rFonts w:ascii="Times New Roman" w:hAnsi="Times New Roman" w:cs="Times New Roman"/>
      <w:i w:val="0"/>
      <w:iCs/>
      <w:sz w:val="16"/>
      <w:szCs w:val="20"/>
      <w:lang w:val="es-ES"/>
    </w:rPr>
  </w:style>
  <w:style w:type="character" w:styleId="Hipervnculo">
    <w:name w:val="Hyperlink"/>
    <w:basedOn w:val="Fuentedeprrafopredeter"/>
    <w:uiPriority w:val="99"/>
    <w:unhideWhenUsed/>
    <w:rsid w:val="00E00127"/>
    <w:rPr>
      <w:color w:val="0563C1" w:themeColor="hyperlink"/>
      <w:u w:val="single"/>
    </w:rPr>
  </w:style>
  <w:style w:type="character" w:styleId="Mencinsinresolver">
    <w:name w:val="Unresolved Mention"/>
    <w:basedOn w:val="Fuentedeprrafopredeter"/>
    <w:uiPriority w:val="99"/>
    <w:semiHidden/>
    <w:unhideWhenUsed/>
    <w:rsid w:val="00E00127"/>
    <w:rPr>
      <w:color w:val="605E5C"/>
      <w:shd w:val="clear" w:color="auto" w:fill="E1DFDD"/>
    </w:rPr>
  </w:style>
  <w:style w:type="character" w:styleId="Textodelmarcadordeposicin">
    <w:name w:val="Placeholder Text"/>
    <w:basedOn w:val="Fuentedeprrafopredeter"/>
    <w:uiPriority w:val="99"/>
    <w:semiHidden/>
    <w:rsid w:val="00007792"/>
    <w:rPr>
      <w:color w:val="808080"/>
    </w:rPr>
  </w:style>
  <w:style w:type="table" w:styleId="Tablaconcuadrcula">
    <w:name w:val="Table Grid"/>
    <w:basedOn w:val="Tablanormal"/>
    <w:uiPriority w:val="39"/>
    <w:rsid w:val="00A166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16230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62308"/>
  </w:style>
  <w:style w:type="paragraph" w:styleId="Piedepgina">
    <w:name w:val="footer"/>
    <w:basedOn w:val="Normal"/>
    <w:link w:val="PiedepginaCar"/>
    <w:uiPriority w:val="99"/>
    <w:unhideWhenUsed/>
    <w:rsid w:val="0016230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62308"/>
  </w:style>
  <w:style w:type="paragraph" w:styleId="NormalWeb">
    <w:name w:val="Normal (Web)"/>
    <w:basedOn w:val="Normal"/>
    <w:uiPriority w:val="99"/>
    <w:unhideWhenUsed/>
    <w:rsid w:val="00D70E4E"/>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Bibliografa">
    <w:name w:val="Bibliography"/>
    <w:basedOn w:val="Normal"/>
    <w:next w:val="Normal"/>
    <w:uiPriority w:val="37"/>
    <w:unhideWhenUsed/>
    <w:rsid w:val="00BF01C4"/>
  </w:style>
  <w:style w:type="table" w:customStyle="1" w:styleId="IEEEEcuaciones">
    <w:name w:val="IEEE Ecuaciones"/>
    <w:basedOn w:val="Tablanormal"/>
    <w:uiPriority w:val="99"/>
    <w:rsid w:val="00BB7C54"/>
    <w:pPr>
      <w:spacing w:after="0" w:line="240" w:lineRule="auto"/>
    </w:pPr>
    <w:rPr>
      <w:rFonts w:ascii="Times New Roman" w:hAnsi="Times New Roman"/>
      <w:sz w:val="20"/>
    </w:rPr>
    <w:tblPr/>
  </w:style>
  <w:style w:type="paragraph" w:styleId="Descripcin">
    <w:name w:val="caption"/>
    <w:basedOn w:val="Normal"/>
    <w:next w:val="Normal"/>
    <w:uiPriority w:val="35"/>
    <w:unhideWhenUsed/>
    <w:qFormat/>
    <w:rsid w:val="00561B48"/>
    <w:pPr>
      <w:spacing w:after="200" w:line="240" w:lineRule="auto"/>
    </w:pPr>
    <w:rPr>
      <w:i/>
      <w:iCs/>
      <w:color w:val="44546A" w:themeColor="text2"/>
      <w:sz w:val="18"/>
      <w:szCs w:val="18"/>
    </w:rPr>
  </w:style>
  <w:style w:type="character" w:styleId="Hipervnculovisitado">
    <w:name w:val="FollowedHyperlink"/>
    <w:basedOn w:val="Fuentedeprrafopredeter"/>
    <w:uiPriority w:val="99"/>
    <w:semiHidden/>
    <w:unhideWhenUsed/>
    <w:rsid w:val="00B8503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393">
      <w:bodyDiv w:val="1"/>
      <w:marLeft w:val="0"/>
      <w:marRight w:val="0"/>
      <w:marTop w:val="0"/>
      <w:marBottom w:val="0"/>
      <w:divBdr>
        <w:top w:val="none" w:sz="0" w:space="0" w:color="auto"/>
        <w:left w:val="none" w:sz="0" w:space="0" w:color="auto"/>
        <w:bottom w:val="none" w:sz="0" w:space="0" w:color="auto"/>
        <w:right w:val="none" w:sz="0" w:space="0" w:color="auto"/>
      </w:divBdr>
    </w:div>
    <w:div w:id="118913238">
      <w:bodyDiv w:val="1"/>
      <w:marLeft w:val="0"/>
      <w:marRight w:val="0"/>
      <w:marTop w:val="0"/>
      <w:marBottom w:val="0"/>
      <w:divBdr>
        <w:top w:val="none" w:sz="0" w:space="0" w:color="auto"/>
        <w:left w:val="none" w:sz="0" w:space="0" w:color="auto"/>
        <w:bottom w:val="none" w:sz="0" w:space="0" w:color="auto"/>
        <w:right w:val="none" w:sz="0" w:space="0" w:color="auto"/>
      </w:divBdr>
    </w:div>
    <w:div w:id="262764792">
      <w:bodyDiv w:val="1"/>
      <w:marLeft w:val="0"/>
      <w:marRight w:val="0"/>
      <w:marTop w:val="0"/>
      <w:marBottom w:val="0"/>
      <w:divBdr>
        <w:top w:val="none" w:sz="0" w:space="0" w:color="auto"/>
        <w:left w:val="none" w:sz="0" w:space="0" w:color="auto"/>
        <w:bottom w:val="none" w:sz="0" w:space="0" w:color="auto"/>
        <w:right w:val="none" w:sz="0" w:space="0" w:color="auto"/>
      </w:divBdr>
    </w:div>
    <w:div w:id="443575517">
      <w:bodyDiv w:val="1"/>
      <w:marLeft w:val="0"/>
      <w:marRight w:val="0"/>
      <w:marTop w:val="0"/>
      <w:marBottom w:val="0"/>
      <w:divBdr>
        <w:top w:val="none" w:sz="0" w:space="0" w:color="auto"/>
        <w:left w:val="none" w:sz="0" w:space="0" w:color="auto"/>
        <w:bottom w:val="none" w:sz="0" w:space="0" w:color="auto"/>
        <w:right w:val="none" w:sz="0" w:space="0" w:color="auto"/>
      </w:divBdr>
    </w:div>
    <w:div w:id="630550809">
      <w:bodyDiv w:val="1"/>
      <w:marLeft w:val="0"/>
      <w:marRight w:val="0"/>
      <w:marTop w:val="0"/>
      <w:marBottom w:val="0"/>
      <w:divBdr>
        <w:top w:val="none" w:sz="0" w:space="0" w:color="auto"/>
        <w:left w:val="none" w:sz="0" w:space="0" w:color="auto"/>
        <w:bottom w:val="none" w:sz="0" w:space="0" w:color="auto"/>
        <w:right w:val="none" w:sz="0" w:space="0" w:color="auto"/>
      </w:divBdr>
    </w:div>
    <w:div w:id="747583444">
      <w:bodyDiv w:val="1"/>
      <w:marLeft w:val="0"/>
      <w:marRight w:val="0"/>
      <w:marTop w:val="0"/>
      <w:marBottom w:val="0"/>
      <w:divBdr>
        <w:top w:val="none" w:sz="0" w:space="0" w:color="auto"/>
        <w:left w:val="none" w:sz="0" w:space="0" w:color="auto"/>
        <w:bottom w:val="none" w:sz="0" w:space="0" w:color="auto"/>
        <w:right w:val="none" w:sz="0" w:space="0" w:color="auto"/>
      </w:divBdr>
    </w:div>
    <w:div w:id="787042952">
      <w:bodyDiv w:val="1"/>
      <w:marLeft w:val="0"/>
      <w:marRight w:val="0"/>
      <w:marTop w:val="0"/>
      <w:marBottom w:val="0"/>
      <w:divBdr>
        <w:top w:val="none" w:sz="0" w:space="0" w:color="auto"/>
        <w:left w:val="none" w:sz="0" w:space="0" w:color="auto"/>
        <w:bottom w:val="none" w:sz="0" w:space="0" w:color="auto"/>
        <w:right w:val="none" w:sz="0" w:space="0" w:color="auto"/>
      </w:divBdr>
    </w:div>
    <w:div w:id="797649538">
      <w:bodyDiv w:val="1"/>
      <w:marLeft w:val="0"/>
      <w:marRight w:val="0"/>
      <w:marTop w:val="0"/>
      <w:marBottom w:val="0"/>
      <w:divBdr>
        <w:top w:val="none" w:sz="0" w:space="0" w:color="auto"/>
        <w:left w:val="none" w:sz="0" w:space="0" w:color="auto"/>
        <w:bottom w:val="none" w:sz="0" w:space="0" w:color="auto"/>
        <w:right w:val="none" w:sz="0" w:space="0" w:color="auto"/>
      </w:divBdr>
    </w:div>
    <w:div w:id="840389367">
      <w:bodyDiv w:val="1"/>
      <w:marLeft w:val="0"/>
      <w:marRight w:val="0"/>
      <w:marTop w:val="0"/>
      <w:marBottom w:val="0"/>
      <w:divBdr>
        <w:top w:val="none" w:sz="0" w:space="0" w:color="auto"/>
        <w:left w:val="none" w:sz="0" w:space="0" w:color="auto"/>
        <w:bottom w:val="none" w:sz="0" w:space="0" w:color="auto"/>
        <w:right w:val="none" w:sz="0" w:space="0" w:color="auto"/>
      </w:divBdr>
    </w:div>
    <w:div w:id="982195417">
      <w:bodyDiv w:val="1"/>
      <w:marLeft w:val="0"/>
      <w:marRight w:val="0"/>
      <w:marTop w:val="0"/>
      <w:marBottom w:val="0"/>
      <w:divBdr>
        <w:top w:val="none" w:sz="0" w:space="0" w:color="auto"/>
        <w:left w:val="none" w:sz="0" w:space="0" w:color="auto"/>
        <w:bottom w:val="none" w:sz="0" w:space="0" w:color="auto"/>
        <w:right w:val="none" w:sz="0" w:space="0" w:color="auto"/>
      </w:divBdr>
    </w:div>
    <w:div w:id="1064179610">
      <w:bodyDiv w:val="1"/>
      <w:marLeft w:val="0"/>
      <w:marRight w:val="0"/>
      <w:marTop w:val="0"/>
      <w:marBottom w:val="0"/>
      <w:divBdr>
        <w:top w:val="none" w:sz="0" w:space="0" w:color="auto"/>
        <w:left w:val="none" w:sz="0" w:space="0" w:color="auto"/>
        <w:bottom w:val="none" w:sz="0" w:space="0" w:color="auto"/>
        <w:right w:val="none" w:sz="0" w:space="0" w:color="auto"/>
      </w:divBdr>
    </w:div>
    <w:div w:id="1073890688">
      <w:bodyDiv w:val="1"/>
      <w:marLeft w:val="0"/>
      <w:marRight w:val="0"/>
      <w:marTop w:val="0"/>
      <w:marBottom w:val="0"/>
      <w:divBdr>
        <w:top w:val="none" w:sz="0" w:space="0" w:color="auto"/>
        <w:left w:val="none" w:sz="0" w:space="0" w:color="auto"/>
        <w:bottom w:val="none" w:sz="0" w:space="0" w:color="auto"/>
        <w:right w:val="none" w:sz="0" w:space="0" w:color="auto"/>
      </w:divBdr>
    </w:div>
    <w:div w:id="1188908645">
      <w:bodyDiv w:val="1"/>
      <w:marLeft w:val="0"/>
      <w:marRight w:val="0"/>
      <w:marTop w:val="0"/>
      <w:marBottom w:val="0"/>
      <w:divBdr>
        <w:top w:val="none" w:sz="0" w:space="0" w:color="auto"/>
        <w:left w:val="none" w:sz="0" w:space="0" w:color="auto"/>
        <w:bottom w:val="none" w:sz="0" w:space="0" w:color="auto"/>
        <w:right w:val="none" w:sz="0" w:space="0" w:color="auto"/>
      </w:divBdr>
    </w:div>
    <w:div w:id="1401174314">
      <w:bodyDiv w:val="1"/>
      <w:marLeft w:val="0"/>
      <w:marRight w:val="0"/>
      <w:marTop w:val="0"/>
      <w:marBottom w:val="0"/>
      <w:divBdr>
        <w:top w:val="none" w:sz="0" w:space="0" w:color="auto"/>
        <w:left w:val="none" w:sz="0" w:space="0" w:color="auto"/>
        <w:bottom w:val="none" w:sz="0" w:space="0" w:color="auto"/>
        <w:right w:val="none" w:sz="0" w:space="0" w:color="auto"/>
      </w:divBdr>
    </w:div>
    <w:div w:id="1423643149">
      <w:bodyDiv w:val="1"/>
      <w:marLeft w:val="0"/>
      <w:marRight w:val="0"/>
      <w:marTop w:val="0"/>
      <w:marBottom w:val="0"/>
      <w:divBdr>
        <w:top w:val="none" w:sz="0" w:space="0" w:color="auto"/>
        <w:left w:val="none" w:sz="0" w:space="0" w:color="auto"/>
        <w:bottom w:val="none" w:sz="0" w:space="0" w:color="auto"/>
        <w:right w:val="none" w:sz="0" w:space="0" w:color="auto"/>
      </w:divBdr>
    </w:div>
    <w:div w:id="1461075174">
      <w:bodyDiv w:val="1"/>
      <w:marLeft w:val="0"/>
      <w:marRight w:val="0"/>
      <w:marTop w:val="0"/>
      <w:marBottom w:val="0"/>
      <w:divBdr>
        <w:top w:val="none" w:sz="0" w:space="0" w:color="auto"/>
        <w:left w:val="none" w:sz="0" w:space="0" w:color="auto"/>
        <w:bottom w:val="none" w:sz="0" w:space="0" w:color="auto"/>
        <w:right w:val="none" w:sz="0" w:space="0" w:color="auto"/>
      </w:divBdr>
    </w:div>
    <w:div w:id="1524124657">
      <w:bodyDiv w:val="1"/>
      <w:marLeft w:val="0"/>
      <w:marRight w:val="0"/>
      <w:marTop w:val="0"/>
      <w:marBottom w:val="0"/>
      <w:divBdr>
        <w:top w:val="none" w:sz="0" w:space="0" w:color="auto"/>
        <w:left w:val="none" w:sz="0" w:space="0" w:color="auto"/>
        <w:bottom w:val="none" w:sz="0" w:space="0" w:color="auto"/>
        <w:right w:val="none" w:sz="0" w:space="0" w:color="auto"/>
      </w:divBdr>
    </w:div>
    <w:div w:id="1538543540">
      <w:bodyDiv w:val="1"/>
      <w:marLeft w:val="0"/>
      <w:marRight w:val="0"/>
      <w:marTop w:val="0"/>
      <w:marBottom w:val="0"/>
      <w:divBdr>
        <w:top w:val="none" w:sz="0" w:space="0" w:color="auto"/>
        <w:left w:val="none" w:sz="0" w:space="0" w:color="auto"/>
        <w:bottom w:val="none" w:sz="0" w:space="0" w:color="auto"/>
        <w:right w:val="none" w:sz="0" w:space="0" w:color="auto"/>
      </w:divBdr>
    </w:div>
    <w:div w:id="1542787925">
      <w:bodyDiv w:val="1"/>
      <w:marLeft w:val="0"/>
      <w:marRight w:val="0"/>
      <w:marTop w:val="0"/>
      <w:marBottom w:val="0"/>
      <w:divBdr>
        <w:top w:val="none" w:sz="0" w:space="0" w:color="auto"/>
        <w:left w:val="none" w:sz="0" w:space="0" w:color="auto"/>
        <w:bottom w:val="none" w:sz="0" w:space="0" w:color="auto"/>
        <w:right w:val="none" w:sz="0" w:space="0" w:color="auto"/>
      </w:divBdr>
    </w:div>
    <w:div w:id="1638220660">
      <w:bodyDiv w:val="1"/>
      <w:marLeft w:val="0"/>
      <w:marRight w:val="0"/>
      <w:marTop w:val="0"/>
      <w:marBottom w:val="0"/>
      <w:divBdr>
        <w:top w:val="none" w:sz="0" w:space="0" w:color="auto"/>
        <w:left w:val="none" w:sz="0" w:space="0" w:color="auto"/>
        <w:bottom w:val="none" w:sz="0" w:space="0" w:color="auto"/>
        <w:right w:val="none" w:sz="0" w:space="0" w:color="auto"/>
      </w:divBdr>
      <w:divsChild>
        <w:div w:id="1141464380">
          <w:marLeft w:val="0"/>
          <w:marRight w:val="0"/>
          <w:marTop w:val="0"/>
          <w:marBottom w:val="0"/>
          <w:divBdr>
            <w:top w:val="none" w:sz="0" w:space="0" w:color="auto"/>
            <w:left w:val="none" w:sz="0" w:space="0" w:color="auto"/>
            <w:bottom w:val="none" w:sz="0" w:space="0" w:color="auto"/>
            <w:right w:val="none" w:sz="0" w:space="0" w:color="auto"/>
          </w:divBdr>
          <w:divsChild>
            <w:div w:id="188143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362133">
      <w:bodyDiv w:val="1"/>
      <w:marLeft w:val="0"/>
      <w:marRight w:val="0"/>
      <w:marTop w:val="0"/>
      <w:marBottom w:val="0"/>
      <w:divBdr>
        <w:top w:val="none" w:sz="0" w:space="0" w:color="auto"/>
        <w:left w:val="none" w:sz="0" w:space="0" w:color="auto"/>
        <w:bottom w:val="none" w:sz="0" w:space="0" w:color="auto"/>
        <w:right w:val="none" w:sz="0" w:space="0" w:color="auto"/>
      </w:divBdr>
    </w:div>
    <w:div w:id="1700625993">
      <w:bodyDiv w:val="1"/>
      <w:marLeft w:val="0"/>
      <w:marRight w:val="0"/>
      <w:marTop w:val="0"/>
      <w:marBottom w:val="0"/>
      <w:divBdr>
        <w:top w:val="none" w:sz="0" w:space="0" w:color="auto"/>
        <w:left w:val="none" w:sz="0" w:space="0" w:color="auto"/>
        <w:bottom w:val="none" w:sz="0" w:space="0" w:color="auto"/>
        <w:right w:val="none" w:sz="0" w:space="0" w:color="auto"/>
      </w:divBdr>
    </w:div>
    <w:div w:id="1753693894">
      <w:bodyDiv w:val="1"/>
      <w:marLeft w:val="0"/>
      <w:marRight w:val="0"/>
      <w:marTop w:val="0"/>
      <w:marBottom w:val="0"/>
      <w:divBdr>
        <w:top w:val="none" w:sz="0" w:space="0" w:color="auto"/>
        <w:left w:val="none" w:sz="0" w:space="0" w:color="auto"/>
        <w:bottom w:val="none" w:sz="0" w:space="0" w:color="auto"/>
        <w:right w:val="none" w:sz="0" w:space="0" w:color="auto"/>
      </w:divBdr>
    </w:div>
    <w:div w:id="1797795396">
      <w:bodyDiv w:val="1"/>
      <w:marLeft w:val="0"/>
      <w:marRight w:val="0"/>
      <w:marTop w:val="0"/>
      <w:marBottom w:val="0"/>
      <w:divBdr>
        <w:top w:val="none" w:sz="0" w:space="0" w:color="auto"/>
        <w:left w:val="none" w:sz="0" w:space="0" w:color="auto"/>
        <w:bottom w:val="none" w:sz="0" w:space="0" w:color="auto"/>
        <w:right w:val="none" w:sz="0" w:space="0" w:color="auto"/>
      </w:divBdr>
    </w:div>
    <w:div w:id="1855920598">
      <w:bodyDiv w:val="1"/>
      <w:marLeft w:val="0"/>
      <w:marRight w:val="0"/>
      <w:marTop w:val="0"/>
      <w:marBottom w:val="0"/>
      <w:divBdr>
        <w:top w:val="none" w:sz="0" w:space="0" w:color="auto"/>
        <w:left w:val="none" w:sz="0" w:space="0" w:color="auto"/>
        <w:bottom w:val="none" w:sz="0" w:space="0" w:color="auto"/>
        <w:right w:val="none" w:sz="0" w:space="0" w:color="auto"/>
      </w:divBdr>
    </w:div>
    <w:div w:id="1858227108">
      <w:bodyDiv w:val="1"/>
      <w:marLeft w:val="0"/>
      <w:marRight w:val="0"/>
      <w:marTop w:val="0"/>
      <w:marBottom w:val="0"/>
      <w:divBdr>
        <w:top w:val="none" w:sz="0" w:space="0" w:color="auto"/>
        <w:left w:val="none" w:sz="0" w:space="0" w:color="auto"/>
        <w:bottom w:val="none" w:sz="0" w:space="0" w:color="auto"/>
        <w:right w:val="none" w:sz="0" w:space="0" w:color="auto"/>
      </w:divBdr>
    </w:div>
    <w:div w:id="1905220981">
      <w:bodyDiv w:val="1"/>
      <w:marLeft w:val="0"/>
      <w:marRight w:val="0"/>
      <w:marTop w:val="0"/>
      <w:marBottom w:val="0"/>
      <w:divBdr>
        <w:top w:val="none" w:sz="0" w:space="0" w:color="auto"/>
        <w:left w:val="none" w:sz="0" w:space="0" w:color="auto"/>
        <w:bottom w:val="none" w:sz="0" w:space="0" w:color="auto"/>
        <w:right w:val="none" w:sz="0" w:space="0" w:color="auto"/>
      </w:divBdr>
    </w:div>
    <w:div w:id="20703727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mar\Documents\Plantillas%20personalizadas%20de%20Office\Formato%20IEEE.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Wik21</b:Tag>
    <b:SourceType>DocumentFromInternetSite</b:SourceType>
    <b:Guid>{2F169AFD-4077-4F3E-8E9C-CA3E77081B2F}</b:Guid>
    <b:Title>wkipedia</b:Title>
    <b:Year>2021</b:Year>
    <b:LCID>es-CO</b:LCID>
    <b:Author>
      <b:Author>
        <b:Corporate>Wikipedia</b:Corporate>
      </b:Author>
    </b:Author>
    <b:Month>10</b:Month>
    <b:Day>21</b:Day>
    <b:YearAccessed>2021</b:YearAccessed>
    <b:MonthAccessed>11</b:MonthAccessed>
    <b:DayAccessed>19</b:DayAccessed>
    <b:URL>https://es.wikipedia.org/wiki/Campo_el%C3%A9ctrico</b:URL>
    <b:RefOrder>2</b:RefOrder>
  </b:Source>
  <b:Source>
    <b:Tag>Est21</b:Tag>
    <b:SourceType>DocumentFromInternetSite</b:SourceType>
    <b:Guid>{F60C06AB-9D8B-4B4A-AAA0-CEC01041724D}</b:Guid>
    <b:Author>
      <b:Author>
        <b:NameList>
          <b:Person>
            <b:Last>Leskow</b:Last>
            <b:First>Estefania</b:First>
            <b:Middle>colusccio</b:Middle>
          </b:Person>
        </b:NameList>
      </b:Author>
    </b:Author>
    <b:Title>concepto</b:Title>
    <b:Year>2021</b:Year>
    <b:Month>07</b:Month>
    <b:Day>15</b:Day>
    <b:YearAccessed>2021</b:YearAccessed>
    <b:MonthAccessed>11</b:MonthAccessed>
    <b:DayAccessed>19</b:DayAccessed>
    <b:URL>https://concepto.de/campo-electrico/</b:URL>
    <b:RefOrder>1</b:RefOrder>
  </b:Source>
  <b:Source>
    <b:Tag>MarcadorDePosición1</b:Tag>
    <b:SourceType>InternetSite</b:SourceType>
    <b:Guid>{18B88062-1357-4E56-92AD-42A5DB24DD8A}</b:Guid>
    <b:Author>
      <b:Author>
        <b:NameList>
          <b:Person>
            <b:Last>Leskow</b:Last>
            <b:First>Estefania</b:First>
            <b:Middle>Coluccio</b:Middle>
          </b:Person>
        </b:NameList>
      </b:Author>
    </b:Author>
    <b:Title>Concepto</b:Title>
    <b:Year>2021</b:Year>
    <b:Month>Julio</b:Month>
    <b:Day>15</b:Day>
    <b:YearAccessed>2021</b:YearAccessed>
    <b:MonthAccessed>11</b:MonthAccessed>
    <b:DayAccessed>18</b:DayAccessed>
    <b:URL>https://concepto.de/campo-electrico/</b:URL>
    <b:RefOrder>1</b:RefOrder>
  </b:Source>
  <b:Source>
    <b:Tag>Edw21</b:Tag>
    <b:SourceType>Report</b:SourceType>
    <b:Guid>{40F3701A-38FA-48A4-A412-1E38CE780C5D}</b:Guid>
    <b:Title>Medición del campo eléctrico e inducción magnética en una esfera conductora y una linea experimental de alta tensión</b:Title>
    <b:Year>2021</b:Year>
    <b:Author>
      <b:Author>
        <b:NameList>
          <b:Person>
            <b:Last>Quintero</b:Last>
            <b:First>Edwin</b:First>
            <b:Middle>Garcia</b:Middle>
          </b:Person>
        </b:NameList>
      </b:Author>
    </b:Author>
    <b:Publisher>Universidad de Antioquia</b:Publisher>
    <b:City>Medellín</b:City>
    <b:RefOrder>2</b:RefOrder>
  </b:Source>
  <b:Source>
    <b:Tag>MOl21</b:Tag>
    <b:SourceType>InternetSite</b:SourceType>
    <b:Guid>{3FDA1747-0DA6-40F3-9355-9DFF7F65D905}</b:Guid>
    <b:Title>HyperPhysics</b:Title>
    <b:Author>
      <b:Author>
        <b:NameList>
          <b:Person>
            <b:Last>Nave</b:Last>
            <b:First>M</b:First>
            <b:Middle>Olmo R</b:Middle>
          </b:Person>
        </b:NameList>
      </b:Author>
    </b:Author>
    <b:YearAccessed>2021</b:YearAccessed>
    <b:MonthAccessed>11</b:MonthAccessed>
    <b:DayAccessed>18</b:DayAccessed>
    <b:URL>http://hyperphysics.phy-astr.gsu.edu/hbasees/electric/elesph.html#:~:text=El%20campo%20el%C3%A9ctrico%20de%20una%20esfera%20de%20densidad%20de%20carga,y%20est%C3%A1%20dirigido%20hacia%20afuera.</b:URL>
    <b:RefOrder>3</b:RefOrder>
  </b:Source>
  <b:Source>
    <b:Tag>Bla21</b:Tag>
    <b:SourceType>InternetSite</b:SourceType>
    <b:Guid>{7F1EEA78-753C-4113-9B83-69D4D5E02A61}</b:Guid>
    <b:Author>
      <b:Author>
        <b:NameList>
          <b:Person>
            <b:Last>Blas</b:Last>
            <b:First>Teresa</b:First>
            <b:Middle>Martin</b:Middle>
          </b:Person>
          <b:Person>
            <b:Last>Ana Serrano Fernandez</b:Last>
          </b:Person>
        </b:NameList>
      </b:Author>
    </b:Author>
    <b:Title>Montes</b:Title>
    <b:YearAccessed>2021</b:YearAccessed>
    <b:MonthAccessed>11</b:MonthAccessed>
    <b:DayAccessed>18</b:DayAccessed>
    <b:URL>http://www2.montes.upm.es/dptos/digfa/cfisica/magnet/induccion.html</b:URL>
    <b:RefOrder>4</b:RefOrder>
  </b:Source>
  <b:Source>
    <b:Tag>Kip72</b:Tag>
    <b:SourceType>Book</b:SourceType>
    <b:Guid>{BDDFA069-6036-4C28-84FA-7E4190403BFF}</b:Guid>
    <b:Title>Fundamentos de electricidad y magnetismo</b:Title>
    <b:Year>1972</b:Year>
    <b:Author>
      <b:Author>
        <b:NameList>
          <b:Person>
            <b:Last>Kip</b:Last>
            <b:First>Arthur</b:First>
            <b:Middle>F</b:Middle>
          </b:Person>
        </b:NameList>
      </b:Author>
    </b:Author>
    <b:RefOrder>5</b:RefOrder>
  </b:Source>
  <b:Source>
    <b:Tag>Jul18</b:Tag>
    <b:SourceType>InternetSite</b:SourceType>
    <b:Guid>{50FD457D-EDE0-4A23-A58B-B7AD813BF2DB}</b:Guid>
    <b:Title>Lifeder</b:Title>
    <b:Year>2018</b:Year>
    <b:Author>
      <b:Author>
        <b:NameList>
          <b:Person>
            <b:Last>Torres</b:Last>
            <b:First>Julia</b:First>
          </b:Person>
        </b:NameList>
      </b:Author>
    </b:Author>
    <b:Month>07</b:Month>
    <b:Day>3</b:Day>
    <b:YearAccessed>2021</b:YearAccessed>
    <b:MonthAccessed>11</b:MonthAccessed>
    <b:DayAccessed>18</b:DayAccessed>
    <b:URL>https://www.lifeder.com/induccion-electromagnetica/</b:URL>
    <b:RefOrder>6</b:RefOrder>
  </b:Source>
</b:Sources>
</file>

<file path=customXml/itemProps1.xml><?xml version="1.0" encoding="utf-8"?>
<ds:datastoreItem xmlns:ds="http://schemas.openxmlformats.org/officeDocument/2006/customXml" ds:itemID="{DE244E0B-8B83-4B9F-AC56-25ECA3D00F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Formato IEEE.dotx</Template>
  <TotalTime>22</TotalTime>
  <Pages>7</Pages>
  <Words>10025</Words>
  <Characters>55139</Characters>
  <Application>Microsoft Office Word</Application>
  <DocSecurity>0</DocSecurity>
  <Lines>459</Lines>
  <Paragraphs>130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dc:creator>
  <cp:keywords/>
  <dc:description/>
  <cp:lastModifiedBy>Juan Felipe Diez Cartagena</cp:lastModifiedBy>
  <cp:revision>8</cp:revision>
  <dcterms:created xsi:type="dcterms:W3CDTF">2022-04-08T17:09:00Z</dcterms:created>
  <dcterms:modified xsi:type="dcterms:W3CDTF">2022-04-08T17:30:00Z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6cfa593a-9f5e-35d8-a645-981b8d0c2853</vt:lpwstr>
  </property>
  <property fmtid="{D5CDD505-2E9C-101B-9397-08002B2CF9AE}" pid="24" name="Mendeley Citation Style_1">
    <vt:lpwstr>http://www.zotero.org/styles/ieee</vt:lpwstr>
  </property>
</Properties>
</file>