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60DE36A2" w14:textId="6933E907" w:rsidR="00732B54" w:rsidRPr="00131D0E" w:rsidRDefault="00536B29" w:rsidP="00131D0E">
      <w:pPr>
        <w:pStyle w:val="IEEEResumenypalabrasclave"/>
      </w:pPr>
      <w:r>
        <w:rPr>
          <w:i/>
        </w:rPr>
        <w:t>Resumen</w:t>
      </w:r>
      <w:r>
        <w:t>—</w:t>
      </w:r>
    </w:p>
    <w:p w14:paraId="5F2B589F" w14:textId="1CF3AC1F" w:rsidR="00536B29" w:rsidRDefault="00536B29" w:rsidP="00536B29">
      <w:pPr>
        <w:pStyle w:val="IEEEPrafo"/>
      </w:pPr>
    </w:p>
    <w:p w14:paraId="153EC14A" w14:textId="457FE457" w:rsidR="00536B29" w:rsidRDefault="00536B29" w:rsidP="00881916">
      <w:pPr>
        <w:pStyle w:val="IEEEResumenypalabrasclave"/>
      </w:pPr>
      <w:r>
        <w:rPr>
          <w:i/>
        </w:rPr>
        <w:t>Palabras claves</w:t>
      </w:r>
      <w:r>
        <w:t>—</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para 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019BB437" w14:textId="4CAFF054" w:rsidR="00066790" w:rsidRDefault="00066790" w:rsidP="00613A43">
      <w:pPr>
        <w:pStyle w:val="IEEEPrafo"/>
      </w:pPr>
    </w:p>
    <w:p w14:paraId="14A3A035" w14:textId="77777777" w:rsidR="004770FF" w:rsidRDefault="004770FF" w:rsidP="00613A43">
      <w:pPr>
        <w:pStyle w:val="IEEEPrafo"/>
      </w:pP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016875"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016875"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016875"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016875"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016875"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016875"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016875"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r>
                <w:rPr>
                  <w:rFonts w:ascii="Cambria Math" w:eastAsia="Cambria Math" w:hAnsi="Cambria Math" w:cs="Cambria Math"/>
                  <w:sz w:val="22"/>
                  <w:szCs w:val="22"/>
                </w:rPr>
                <m:t xml:space="preserve">  </m:t>
              </m:r>
              <m:r>
                <w:rPr>
                  <w:rFonts w:ascii="Cambria Math" w:eastAsia="Cambria Math" w:hAnsi="Cambria Math" w:cs="Cambria Math"/>
                  <w:sz w:val="22"/>
                  <w:szCs w:val="22"/>
                </w:rPr>
                <m:t>∀i, ∀t</m:t>
              </m:r>
              <m:r>
                <w:rPr>
                  <w:rFonts w:ascii="Cambria Math" w:eastAsia="Cambria Math" w:hAnsi="Cambria Math" w:cs="Cambria Math"/>
                  <w:sz w:val="22"/>
                  <w:szCs w:val="22"/>
                </w:rPr>
                <m:t xml:space="preserve">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56E9340A"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5C6D71">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3FA21DE5" w:rsidR="00742320" w:rsidRDefault="007D2615" w:rsidP="007D2615">
      <w:pPr>
        <w:pStyle w:val="IEEEPrafo"/>
      </w:pPr>
      <w:r>
        <w:t xml:space="preserve">Fig.  </w:t>
      </w:r>
      <w:r>
        <w:fldChar w:fldCharType="begin"/>
      </w:r>
      <w:r>
        <w:instrText xml:space="preserve"> SEQ Fig._ \* ARABIC </w:instrText>
      </w:r>
      <w:r>
        <w:fldChar w:fldCharType="separate"/>
      </w:r>
      <w:r w:rsidR="005C6D71">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se opta por modelar los cambios máximos en la generación en función de la velocidad de toma 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69854091"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5C6D71">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401C40"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m:t>
                  </m:r>
                  <m:r>
                    <w:rPr>
                      <w:rFonts w:ascii="Cambria Math" w:eastAsiaTheme="minorEastAsia" w:hAnsi="Cambria Math"/>
                      <w:sz w:val="22"/>
                      <w:szCs w:val="22"/>
                    </w:rPr>
                    <m:t>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016875"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m:t>
                  </m:r>
                  <m:r>
                    <w:rPr>
                      <w:rFonts w:ascii="Cambria Math" w:eastAsiaTheme="minorEastAsia" w:hAnsi="Cambria Math"/>
                      <w:sz w:val="22"/>
                      <w:szCs w:val="22"/>
                    </w:rPr>
                    <m:t>2</m:t>
                  </m:r>
                </m:e>
              </m:d>
              <m:ctrlPr>
                <w:rPr>
                  <w:rFonts w:ascii="Cambria Math" w:hAnsi="Cambria Math"/>
                  <w:i/>
                  <w:iCs w:val="0"/>
                  <w:sz w:val="22"/>
                  <w:szCs w:val="22"/>
                </w:rPr>
              </m:ctrlPr>
            </m:e>
          </m:eqArr>
        </m:oMath>
      </m:oMathPara>
    </w:p>
    <w:p w14:paraId="1555075D" w14:textId="7AF368CF" w:rsidR="00496F5C" w:rsidRPr="00401C40" w:rsidRDefault="00016875"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m:t>
                  </m:r>
                  <m:r>
                    <w:rPr>
                      <w:rFonts w:ascii="Cambria Math" w:eastAsiaTheme="minorEastAsia" w:hAnsi="Cambria Math"/>
                      <w:sz w:val="22"/>
                      <w:szCs w:val="22"/>
                    </w:rPr>
                    <m:t>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 xml:space="preserve">k-1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647E9638"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Pr="005C6D71">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192D1B"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r>
                                <w:rPr>
                                  <w:rFonts w:ascii="Cambria Math" w:eastAsiaTheme="minorEastAsia" w:hAnsi="Cambria Math"/>
                                  <w:sz w:val="22"/>
                                  <w:szCs w:val="22"/>
                                </w:rPr>
                                <m:t>-1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r>
                                    <w:rPr>
                                      <w:rFonts w:ascii="Cambria Math" w:eastAsiaTheme="minorEastAsia" w:hAnsi="Cambria Math"/>
                                      <w:sz w:val="22"/>
                                      <w:szCs w:val="22"/>
                                    </w:rPr>
                                    <m:t>-1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702907"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016875"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BEC0987" w14:textId="4CA7AC2D" w:rsidR="00776708" w:rsidRPr="00776708" w:rsidRDefault="00016875"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1CEF464D" w:rsidR="00776708" w:rsidRPr="00776708" w:rsidRDefault="00016875"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8</m:t>
                  </m:r>
                </m:e>
              </m:d>
            </m:e>
          </m:eqArr>
        </m:oMath>
      </m:oMathPara>
    </w:p>
    <w:p w14:paraId="63B6BA68" w14:textId="77777777" w:rsidR="00742320" w:rsidRDefault="00742320" w:rsidP="000D6AB9">
      <w:pPr>
        <w:pStyle w:val="IEEEPrafo"/>
      </w:pPr>
    </w:p>
    <w:p w14:paraId="6017BA69" w14:textId="5803724D" w:rsidR="00742320" w:rsidRDefault="00742320" w:rsidP="000D6AB9">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12D92086" w14:textId="2EC17665" w:rsidR="00312F31" w:rsidRDefault="00312F31" w:rsidP="000D6AB9">
      <w:pPr>
        <w:pStyle w:val="IEEEPrafo"/>
      </w:pPr>
    </w:p>
    <w:p w14:paraId="4EE7BFA1" w14:textId="2E9E528D" w:rsidR="00312F31" w:rsidRPr="00742320" w:rsidRDefault="00312F31" w:rsidP="000D6AB9">
      <w:pPr>
        <w:pStyle w:val="IEEEPrafo"/>
      </w:pPr>
      <w:r>
        <w:t xml:space="preserve">En lo que respecta a la modelación matemática realizada en Python, se modelaron las ecuaciones (1), </w:t>
      </w:r>
      <w:r>
        <w:t>(</w:t>
      </w:r>
      <w:r>
        <w:t>2</w:t>
      </w:r>
      <w:r>
        <w:t>)</w:t>
      </w:r>
      <w:r>
        <w:t xml:space="preserve">, </w:t>
      </w:r>
      <w:r>
        <w:t>(</w:t>
      </w:r>
      <w:r>
        <w:t>3</w:t>
      </w:r>
      <w:r>
        <w:t>)</w:t>
      </w:r>
      <w:r>
        <w:t xml:space="preserve">, </w:t>
      </w:r>
      <w:r>
        <w:t>(</w:t>
      </w:r>
      <w:r>
        <w:t>4</w:t>
      </w:r>
      <w:r>
        <w:t>)</w:t>
      </w:r>
      <w:r>
        <w:t xml:space="preserve">, </w:t>
      </w:r>
      <w:r>
        <w:t>(</w:t>
      </w:r>
      <w:r>
        <w:t>5</w:t>
      </w:r>
      <w:r>
        <w:t>)</w:t>
      </w:r>
      <w:r>
        <w:t>, (8), (9), (10), (11), (12), (13), (15), (16), (17) y (18).</w:t>
      </w:r>
    </w:p>
    <w:p w14:paraId="29CF22A5" w14:textId="0C6952CE" w:rsidR="00325061" w:rsidRDefault="00325061" w:rsidP="00325061">
      <w:pPr>
        <w:pStyle w:val="IEEENivel1"/>
      </w:pPr>
      <w:r>
        <w:lastRenderedPageBreak/>
        <w:t>RESULTADOS</w:t>
      </w:r>
    </w:p>
    <w:p w14:paraId="7BD46BDE" w14:textId="77777777" w:rsidR="00C11D01" w:rsidRDefault="00C11D01" w:rsidP="00325061">
      <w:pPr>
        <w:pStyle w:val="IEEEPrafo"/>
      </w:pPr>
    </w:p>
    <w:p w14:paraId="5DDF63D8" w14:textId="00CD5DB3" w:rsidR="00903F54" w:rsidRDefault="00C11D01" w:rsidP="00325061">
      <w:pPr>
        <w:pStyle w:val="IEEEPrafo"/>
      </w:pPr>
      <w:r>
        <w:t xml:space="preserve">Se plantearon 4 escenarios de generación para </w:t>
      </w:r>
      <w:r>
        <w:rPr>
          <w:i/>
          <w:iCs w:val="0"/>
        </w:rPr>
        <w:t>SUPERTRINA</w:t>
      </w:r>
      <w:r>
        <w:t>, el recurso solar simulado</w:t>
      </w:r>
      <w:r w:rsidR="00AC018B">
        <w:t xml:space="preserve">. Referencia del programa en </w:t>
      </w:r>
      <w:r w:rsidR="00B917C1">
        <w:fldChar w:fldCharType="begin" w:fldLock="1"/>
      </w:r>
      <w:r w:rsidR="00B917C1">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00B917C1">
        <w:fldChar w:fldCharType="separate"/>
      </w:r>
      <w:r w:rsidR="00B917C1" w:rsidRPr="00B917C1">
        <w:rPr>
          <w:noProof/>
        </w:rPr>
        <w:t>[13]</w:t>
      </w:r>
      <w:r w:rsidR="00B917C1">
        <w:fldChar w:fldCharType="end"/>
      </w:r>
      <w:r>
        <w:t>.</w:t>
      </w:r>
    </w:p>
    <w:p w14:paraId="476A757B" w14:textId="793060FD" w:rsidR="00C11D01" w:rsidRDefault="00C11D01" w:rsidP="00C11D01">
      <w:pPr>
        <w:pStyle w:val="IEEEPrafo"/>
      </w:pPr>
      <w:r>
        <w:t>Escenarios de generación con períodos de 1 hora:</w:t>
      </w:r>
    </w:p>
    <w:p w14:paraId="5005CAC9" w14:textId="153B70C1" w:rsidR="00C11D01" w:rsidRDefault="00C11D01" w:rsidP="00C11D01">
      <w:pPr>
        <w:pStyle w:val="IEEEPrafo"/>
        <w:numPr>
          <w:ilvl w:val="0"/>
          <w:numId w:val="7"/>
        </w:numPr>
      </w:pPr>
      <w:r>
        <w:t>Escenario 1: día soleado.</w:t>
      </w:r>
    </w:p>
    <w:p w14:paraId="24615C67" w14:textId="2C72838F" w:rsidR="00C11D01" w:rsidRDefault="00C11D01" w:rsidP="00C11D01">
      <w:pPr>
        <w:pStyle w:val="IEEEPrafo"/>
        <w:numPr>
          <w:ilvl w:val="0"/>
          <w:numId w:val="7"/>
        </w:numPr>
      </w:pPr>
      <w:r>
        <w:t>Escenario 2: nubes entre 11am y 2pm.</w:t>
      </w:r>
    </w:p>
    <w:p w14:paraId="402DC16B" w14:textId="1DB912BA" w:rsidR="00C11D01" w:rsidRDefault="00C11D01" w:rsidP="00C11D01">
      <w:pPr>
        <w:pStyle w:val="IEEEPrafo"/>
        <w:numPr>
          <w:ilvl w:val="0"/>
          <w:numId w:val="7"/>
        </w:numPr>
      </w:pPr>
      <w:r>
        <w:t>Escenario 3: nubes entre 2pm y 4pm.</w:t>
      </w:r>
    </w:p>
    <w:p w14:paraId="041F0470" w14:textId="4BB9DF5B" w:rsidR="00C11D01" w:rsidRDefault="00C11D01" w:rsidP="00C11D01">
      <w:pPr>
        <w:pStyle w:val="IEEEPrafo"/>
        <w:numPr>
          <w:ilvl w:val="0"/>
          <w:numId w:val="7"/>
        </w:numPr>
      </w:pPr>
      <w:r>
        <w:t>Escenario 4: nubes entre 9am y 11am.</w:t>
      </w:r>
    </w:p>
    <w:p w14:paraId="6F6ADFAB" w14:textId="7213A844" w:rsidR="00C11D01" w:rsidRDefault="00C11D01" w:rsidP="00C11D01">
      <w:pPr>
        <w:pStyle w:val="IEEEPrafo"/>
        <w:ind w:left="924" w:firstLine="0"/>
      </w:pPr>
    </w:p>
    <w:p w14:paraId="772B305C" w14:textId="151A76E7" w:rsidR="00C11D01" w:rsidRDefault="00C11D01" w:rsidP="00C11D01">
      <w:pPr>
        <w:pStyle w:val="IEEEPrafo"/>
      </w:pPr>
      <w:r>
        <w:t>Escenarios de generación con períodos de 15 minutos:</w:t>
      </w:r>
    </w:p>
    <w:p w14:paraId="335027FA" w14:textId="5520CB35" w:rsidR="00C11D01" w:rsidRDefault="00C11D01" w:rsidP="00C11D01">
      <w:pPr>
        <w:pStyle w:val="IEEEPrafo"/>
        <w:numPr>
          <w:ilvl w:val="0"/>
          <w:numId w:val="8"/>
        </w:numPr>
      </w:pPr>
      <w:r>
        <w:t>Escenario 1: día soleado.</w:t>
      </w:r>
    </w:p>
    <w:p w14:paraId="66209E19" w14:textId="3B1A0CA3" w:rsidR="00C11D01" w:rsidRDefault="00C11D01" w:rsidP="00C11D01">
      <w:pPr>
        <w:pStyle w:val="IEEEPrafo"/>
        <w:numPr>
          <w:ilvl w:val="0"/>
          <w:numId w:val="8"/>
        </w:numPr>
      </w:pPr>
      <w:r>
        <w:t>Escenario 2: nubes entre 11:30am y 2:15pm.</w:t>
      </w:r>
    </w:p>
    <w:p w14:paraId="7163A11A" w14:textId="6FA3DECD" w:rsidR="00C11D01" w:rsidRDefault="00C11D01" w:rsidP="00C11D01">
      <w:pPr>
        <w:pStyle w:val="IEEEPrafo"/>
        <w:numPr>
          <w:ilvl w:val="0"/>
          <w:numId w:val="8"/>
        </w:numPr>
      </w:pPr>
      <w:r>
        <w:t>Escenario 3: nubes entre 2:30pm y 4:45pm.</w:t>
      </w:r>
    </w:p>
    <w:p w14:paraId="7CA7512F" w14:textId="222BD62D" w:rsidR="00C11D01" w:rsidRPr="00C11D01" w:rsidRDefault="00C11D01" w:rsidP="00C11D01">
      <w:pPr>
        <w:pStyle w:val="IEEEPrafo"/>
        <w:numPr>
          <w:ilvl w:val="0"/>
          <w:numId w:val="8"/>
        </w:numPr>
      </w:pPr>
      <w:r>
        <w:t>Escenario 4: nubes entre 9:30am y 11:15am.</w:t>
      </w:r>
    </w:p>
    <w:p w14:paraId="31095C13" w14:textId="77777777" w:rsidR="00903F54" w:rsidRDefault="00903F54" w:rsidP="00325061">
      <w:pPr>
        <w:pStyle w:val="IEEEPrafo"/>
      </w:pPr>
    </w:p>
    <w:p w14:paraId="7321C771" w14:textId="1F4325E1" w:rsidR="00325061" w:rsidRPr="00325061" w:rsidRDefault="00325061" w:rsidP="00325061">
      <w:pPr>
        <w:pStyle w:val="IEEENivel1"/>
      </w:pPr>
      <w:r>
        <w:t>ANÁLISIS DE RESULTADOS</w:t>
      </w:r>
    </w:p>
    <w:p w14:paraId="05778ADA" w14:textId="0B6BC47F" w:rsidR="00FC3988" w:rsidRDefault="00FC3988" w:rsidP="00206B06">
      <w:pPr>
        <w:pStyle w:val="IEEEPrafo"/>
      </w:pPr>
    </w:p>
    <w:p w14:paraId="47C95127" w14:textId="788FFD3F" w:rsidR="00325061" w:rsidRPr="00325061" w:rsidRDefault="00325061" w:rsidP="00325061">
      <w:pPr>
        <w:pStyle w:val="IEEENivel1"/>
      </w:pPr>
      <w:r>
        <w:t>CONCLUSIONES</w:t>
      </w:r>
    </w:p>
    <w:p w14:paraId="594A5F5B" w14:textId="42B4EEA7" w:rsidR="00BF01C4" w:rsidRPr="007F7EB0" w:rsidRDefault="00BF01C4" w:rsidP="007F7EB0">
      <w:pPr>
        <w:pStyle w:val="IEEEPrafo"/>
      </w:pPr>
    </w:p>
    <w:p w14:paraId="31CBB9BE" w14:textId="0E1A066F" w:rsidR="00BF01C4" w:rsidRDefault="007F7EB0" w:rsidP="00BF01C4">
      <w:pPr>
        <w:pStyle w:val="IEEENivel1"/>
      </w:pPr>
      <w:r>
        <w:t>REFERENCIAS</w:t>
      </w:r>
    </w:p>
    <w:p w14:paraId="7BEDDA7E" w14:textId="5079ED62" w:rsidR="00B917C1" w:rsidRPr="00B917C1" w:rsidRDefault="00BD351B"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fldChar w:fldCharType="begin" w:fldLock="1"/>
      </w:r>
      <w:r>
        <w:instrText xml:space="preserve">ADDIN Mendeley Bibliography CSL_BIBLIOGRAPHY </w:instrText>
      </w:r>
      <w:r>
        <w:fldChar w:fldCharType="separate"/>
      </w:r>
      <w:r w:rsidR="00B917C1" w:rsidRPr="00B917C1">
        <w:rPr>
          <w:rFonts w:ascii="Times New Roman" w:hAnsi="Times New Roman" w:cs="Times New Roman"/>
          <w:noProof/>
          <w:sz w:val="20"/>
          <w:szCs w:val="24"/>
        </w:rPr>
        <w:t>[1]</w:t>
      </w:r>
      <w:r w:rsidR="00B917C1" w:rsidRPr="00B917C1">
        <w:rPr>
          <w:rFonts w:ascii="Times New Roman" w:hAnsi="Times New Roman" w:cs="Times New Roman"/>
          <w:noProof/>
          <w:sz w:val="20"/>
          <w:szCs w:val="24"/>
        </w:rPr>
        <w:tab/>
        <w:t>PARATEC and XM S.A. E.S.P., “Capacidad efectiva por tipo de generación.” https://bit.ly/3FV0X4v (accessed Jan. 24, 2022).</w:t>
      </w:r>
    </w:p>
    <w:p w14:paraId="6EE40224"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[2]</w:t>
      </w:r>
      <w:r w:rsidRPr="00B917C1">
        <w:rPr>
          <w:rFonts w:ascii="Times New Roman" w:hAnsi="Times New Roman" w:cs="Times New Roman"/>
          <w:noProof/>
          <w:sz w:val="20"/>
          <w:szCs w:val="24"/>
        </w:rPr>
        <w:tab/>
        <w:t>Asociación Colombiana de Generadores de Energía Eléctrica, “Capacidad instalada en Colombia.” https://www.acolgen.org.co/ (accessed May 10, 2021).</w:t>
      </w:r>
    </w:p>
    <w:p w14:paraId="3C330E59"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[3]</w:t>
      </w:r>
      <w:r w:rsidRPr="00B917C1">
        <w:rPr>
          <w:rFonts w:ascii="Times New Roman" w:hAnsi="Times New Roman" w:cs="Times New Roman"/>
          <w:noProof/>
          <w:sz w:val="20"/>
          <w:szCs w:val="24"/>
        </w:rPr>
        <w:tab/>
        <w:t xml:space="preserve">A. Ruíz L Opez </w:t>
      </w:r>
      <w:r w:rsidRPr="00B917C1">
        <w:rPr>
          <w:rFonts w:ascii="Times New Roman" w:hAnsi="Times New Roman" w:cs="Times New Roman"/>
          <w:i/>
          <w:iCs/>
          <w:noProof/>
          <w:sz w:val="20"/>
          <w:szCs w:val="24"/>
        </w:rPr>
        <w:t>et al.</w:t>
      </w:r>
      <w:r w:rsidRPr="00B917C1">
        <w:rPr>
          <w:rFonts w:ascii="Times New Roman" w:hAnsi="Times New Roman" w:cs="Times New Roman"/>
          <w:noProof/>
          <w:sz w:val="20"/>
          <w:szCs w:val="24"/>
        </w:rPr>
        <w:t>, “Solar PV generation in Colombia-A qualitative and quantitative approach to analyze the potential of solar energy market,” 2019, doi: 10.1016/j.renene.2019.10.066.</w:t>
      </w:r>
    </w:p>
    <w:p w14:paraId="0DBA3C22"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[4]</w:t>
      </w:r>
      <w:r w:rsidRPr="00B917C1">
        <w:rPr>
          <w:rFonts w:ascii="Times New Roman" w:hAnsi="Times New Roman" w:cs="Times New Roman"/>
          <w:noProof/>
          <w:sz w:val="20"/>
          <w:szCs w:val="24"/>
        </w:rPr>
        <w:tab/>
        <w:t xml:space="preserve">A. J. Wood and B. F. Wollenberg, </w:t>
      </w:r>
      <w:r w:rsidRPr="00B917C1">
        <w:rPr>
          <w:rFonts w:ascii="Times New Roman" w:hAnsi="Times New Roman" w:cs="Times New Roman"/>
          <w:i/>
          <w:iCs/>
          <w:noProof/>
          <w:sz w:val="20"/>
          <w:szCs w:val="24"/>
        </w:rPr>
        <w:t>Power Generation Operation and Control</w:t>
      </w:r>
      <w:r w:rsidRPr="00B917C1">
        <w:rPr>
          <w:rFonts w:ascii="Times New Roman" w:hAnsi="Times New Roman" w:cs="Times New Roman"/>
          <w:noProof/>
          <w:sz w:val="20"/>
          <w:szCs w:val="24"/>
        </w:rPr>
        <w:t>. 1996.</w:t>
      </w:r>
    </w:p>
    <w:p w14:paraId="3CA1A8FD"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[5]</w:t>
      </w:r>
      <w:r w:rsidRPr="00B917C1">
        <w:rPr>
          <w:rFonts w:ascii="Times New Roman" w:hAnsi="Times New Roman" w:cs="Times New Roman"/>
          <w:noProof/>
          <w:sz w:val="20"/>
          <w:szCs w:val="24"/>
        </w:rPr>
        <w:tab/>
        <w:t xml:space="preserve">J. A. D. Contreras, G. I. M. Villalba, and E. L. González, “Hedging strategy with products for the Colombian energy market,” </w:t>
      </w:r>
      <w:r w:rsidRPr="00B917C1">
        <w:rPr>
          <w:rFonts w:ascii="Times New Roman" w:hAnsi="Times New Roman" w:cs="Times New Roman"/>
          <w:i/>
          <w:iCs/>
          <w:noProof/>
          <w:sz w:val="20"/>
          <w:szCs w:val="24"/>
        </w:rPr>
        <w:t>Estud. Gerenciales</w:t>
      </w:r>
      <w:r w:rsidRPr="00B917C1">
        <w:rPr>
          <w:rFonts w:ascii="Times New Roman" w:hAnsi="Times New Roman" w:cs="Times New Roman"/>
          <w:noProof/>
          <w:sz w:val="20"/>
          <w:szCs w:val="24"/>
        </w:rPr>
        <w:t>, vol. 30, no. 130, pp. 55–64, Jan. 2014, doi: 10.1016/j.estger.2014.02.008.</w:t>
      </w:r>
    </w:p>
    <w:p w14:paraId="20DCB413"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[6]</w:t>
      </w:r>
      <w:r w:rsidRPr="00B917C1">
        <w:rPr>
          <w:rFonts w:ascii="Times New Roman" w:hAnsi="Times New Roman" w:cs="Times New Roman"/>
          <w:noProof/>
          <w:sz w:val="20"/>
          <w:szCs w:val="24"/>
        </w:rPr>
        <w:tab/>
        <w:t>“XM: ¿Qué hacemos?” https://www.xm.com.co/nuestra-empresa/nosotros/que-hacemos (accessed Dec. 25, 2021).</w:t>
      </w:r>
    </w:p>
    <w:p w14:paraId="4DF4FF4A"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[7]</w:t>
      </w:r>
      <w:r w:rsidRPr="00B917C1">
        <w:rPr>
          <w:rFonts w:ascii="Times New Roman" w:hAnsi="Times New Roman" w:cs="Times New Roman"/>
          <w:noProof/>
          <w:sz w:val="20"/>
          <w:szCs w:val="24"/>
        </w:rPr>
        <w:tab/>
        <w:t>Comillas ICAI, “Estudio para la modernización del despacho y el mercado spot de energía eléctrica-despacho vinculante y mercados intradiarios.” Accessed: Jan. 24, 2022. [Online]. Available: https://bit.ly/3qWePaH.</w:t>
      </w:r>
    </w:p>
    <w:p w14:paraId="4AF2912D"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[8]</w:t>
      </w:r>
      <w:r w:rsidRPr="00B917C1">
        <w:rPr>
          <w:rFonts w:ascii="Times New Roman" w:hAnsi="Times New Roman" w:cs="Times New Roman"/>
          <w:noProof/>
          <w:sz w:val="20"/>
          <w:szCs w:val="24"/>
        </w:rPr>
        <w:tab/>
        <w:t>RightSide S.A.S, “Definición y Evaluación de un Sistema de Precios Nodales en el Mercado de Energía Mayorista bajo el esquema de Mercados Vinculantes del Día Anterior e Intradiarios,” 2021. [Online]. Available: https://bit.ly/3nTqLYV.</w:t>
      </w:r>
    </w:p>
    <w:p w14:paraId="56B83646"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[9]</w:t>
      </w:r>
      <w:r w:rsidRPr="00B917C1">
        <w:rPr>
          <w:rFonts w:ascii="Times New Roman" w:hAnsi="Times New Roman" w:cs="Times New Roman"/>
          <w:noProof/>
          <w:sz w:val="20"/>
          <w:szCs w:val="24"/>
        </w:rPr>
        <w:tab/>
        <w:t xml:space="preserve">CREG, “Propuesta para despacho vinculante,” </w:t>
      </w:r>
      <w:r w:rsidRPr="00B917C1">
        <w:rPr>
          <w:rFonts w:ascii="Times New Roman" w:hAnsi="Times New Roman" w:cs="Times New Roman"/>
          <w:i/>
          <w:iCs/>
          <w:noProof/>
          <w:sz w:val="20"/>
          <w:szCs w:val="24"/>
        </w:rPr>
        <w:t>Consultation document Circular 039-2016 Anexo D-004B</w:t>
      </w:r>
      <w:r w:rsidRPr="00B917C1">
        <w:rPr>
          <w:rFonts w:ascii="Times New Roman" w:hAnsi="Times New Roman" w:cs="Times New Roman"/>
          <w:noProof/>
          <w:sz w:val="20"/>
          <w:szCs w:val="24"/>
        </w:rPr>
        <w:t>. 2016, [Online]. Available: https://bit.ly/3nQ5P4H.</w:t>
      </w:r>
    </w:p>
    <w:p w14:paraId="74070DD8"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[10]</w:t>
      </w:r>
      <w:r w:rsidRPr="00B917C1">
        <w:rPr>
          <w:rFonts w:ascii="Times New Roman" w:hAnsi="Times New Roman" w:cs="Times New Roman"/>
          <w:noProof/>
          <w:sz w:val="20"/>
          <w:szCs w:val="24"/>
        </w:rPr>
        <w:tab/>
        <w:t>J. G. Valenzuela Hernández, “Desarrollo de un modelo de programación óptima de unidades de generación de energía eléctrica para el sistema eléctrico colombiano.,” Universidad Tecnológica de Pereira, Pereira, 2015.</w:t>
      </w:r>
    </w:p>
    <w:p w14:paraId="4DAAFF52"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[11]</w:t>
      </w:r>
      <w:r w:rsidRPr="00B917C1">
        <w:rPr>
          <w:rFonts w:ascii="Times New Roman" w:hAnsi="Times New Roman" w:cs="Times New Roman"/>
          <w:noProof/>
          <w:sz w:val="20"/>
          <w:szCs w:val="24"/>
        </w:rPr>
        <w:tab/>
        <w:t>O. Carreño, “Optimización de sistemas de potencia.” 2020.</w:t>
      </w:r>
    </w:p>
    <w:p w14:paraId="3411BD57" w14:textId="77777777" w:rsidR="00B917C1" w:rsidRPr="00B917C1" w:rsidRDefault="00B917C1" w:rsidP="00B917C1">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B917C1">
        <w:rPr>
          <w:rFonts w:ascii="Times New Roman" w:hAnsi="Times New Roman" w:cs="Times New Roman"/>
          <w:noProof/>
          <w:sz w:val="20"/>
          <w:szCs w:val="24"/>
        </w:rPr>
        <w:t>[12]</w:t>
      </w:r>
      <w:r w:rsidRPr="00B917C1">
        <w:rPr>
          <w:rFonts w:ascii="Times New Roman" w:hAnsi="Times New Roman" w:cs="Times New Roman"/>
          <w:noProof/>
          <w:sz w:val="20"/>
          <w:szCs w:val="24"/>
        </w:rPr>
        <w:tab/>
        <w:t>O. M. Carreno, “Modelo Matemático para las tasas de toma de carga y descarga de los recursos de generación.,” pp. 1–11, [Online]. Available: http://www.tlaio.org.mx/EventosAnteriores/TLAIOIII/MODELO MATEMATICO PARA LAS TASAS DE TOMA DE.pdf.</w:t>
      </w:r>
    </w:p>
    <w:p w14:paraId="27997033" w14:textId="77777777" w:rsidR="00B917C1" w:rsidRPr="00B917C1" w:rsidRDefault="00B917C1" w:rsidP="00B917C1">
      <w:pPr>
        <w:widowControl w:val="0"/>
        <w:autoSpaceDE w:val="0"/>
        <w:autoSpaceDN w:val="0"/>
        <w:adjustRightInd w:val="0"/>
        <w:spacing w:after="0" w:line="240" w:lineRule="auto"/>
        <w:ind w:left="640" w:hanging="640"/>
        <w:jc w:val="both"/>
        <w:rPr>
          <w:rFonts w:ascii="Times New Roman" w:hAnsi="Times New Roman" w:cs="Times New Roman"/>
          <w:noProof/>
          <w:sz w:val="20"/>
        </w:rPr>
      </w:pPr>
      <w:r w:rsidRPr="00B917C1">
        <w:rPr>
          <w:rFonts w:ascii="Times New Roman" w:hAnsi="Times New Roman" w:cs="Times New Roman"/>
          <w:noProof/>
          <w:sz w:val="20"/>
          <w:szCs w:val="24"/>
        </w:rPr>
        <w:t>[13]</w:t>
      </w:r>
      <w:r w:rsidRPr="00B917C1">
        <w:rPr>
          <w:rFonts w:ascii="Times New Roman" w:hAnsi="Times New Roman" w:cs="Times New Roman"/>
          <w:noProof/>
          <w:sz w:val="20"/>
          <w:szCs w:val="24"/>
        </w:rPr>
        <w:tab/>
        <w:t>J. Mendoza, A. Cerón, and V. Alvarez, “Programa Despacho Intradiario,” 2022. https://github.com/Xa4Mend/DespachoIntradiario/tree/SeminarioIntegradorUdeA (accessed Apr. 07, 2022).</w:t>
      </w:r>
    </w:p>
    <w:p w14:paraId="02562228" w14:textId="00FEE220" w:rsidR="009B6A7B" w:rsidRPr="009B6A7B" w:rsidRDefault="00BD351B" w:rsidP="001B65D2">
      <w:pPr>
        <w:pStyle w:val="IEEEPrafo"/>
      </w:pPr>
      <w:r>
        <w:fldChar w:fldCharType="end"/>
      </w:r>
    </w:p>
    <w:sectPr w:rsidR="009B6A7B" w:rsidRPr="009B6A7B" w:rsidSect="002D65E4">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A754" w14:textId="77777777" w:rsidR="00016875" w:rsidRDefault="00016875" w:rsidP="00162308">
      <w:pPr>
        <w:spacing w:after="0" w:line="240" w:lineRule="auto"/>
      </w:pPr>
      <w:r>
        <w:separator/>
      </w:r>
    </w:p>
  </w:endnote>
  <w:endnote w:type="continuationSeparator" w:id="0">
    <w:p w14:paraId="572BEE9C" w14:textId="77777777" w:rsidR="00016875" w:rsidRDefault="00016875"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5A56" w14:textId="77777777" w:rsidR="00016875" w:rsidRDefault="00016875" w:rsidP="00162308">
      <w:pPr>
        <w:spacing w:after="0" w:line="240" w:lineRule="auto"/>
      </w:pPr>
      <w:r>
        <w:separator/>
      </w:r>
    </w:p>
  </w:footnote>
  <w:footnote w:type="continuationSeparator" w:id="0">
    <w:p w14:paraId="2E272500" w14:textId="77777777" w:rsidR="00016875" w:rsidRDefault="00016875"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40887">
    <w:abstractNumId w:val="1"/>
  </w:num>
  <w:num w:numId="2" w16cid:durableId="59835310">
    <w:abstractNumId w:val="6"/>
  </w:num>
  <w:num w:numId="3" w16cid:durableId="22632323">
    <w:abstractNumId w:val="2"/>
  </w:num>
  <w:num w:numId="4" w16cid:durableId="2096901888">
    <w:abstractNumId w:val="5"/>
  </w:num>
  <w:num w:numId="5" w16cid:durableId="305546290">
    <w:abstractNumId w:val="7"/>
  </w:num>
  <w:num w:numId="6" w16cid:durableId="1578662223">
    <w:abstractNumId w:val="0"/>
  </w:num>
  <w:num w:numId="7" w16cid:durableId="475027219">
    <w:abstractNumId w:val="4"/>
  </w:num>
  <w:num w:numId="8" w16cid:durableId="161960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B29"/>
    <w:rsid w:val="00000CB8"/>
    <w:rsid w:val="00003382"/>
    <w:rsid w:val="00007792"/>
    <w:rsid w:val="000120A5"/>
    <w:rsid w:val="0001398B"/>
    <w:rsid w:val="000151A9"/>
    <w:rsid w:val="00016875"/>
    <w:rsid w:val="000467FF"/>
    <w:rsid w:val="00052261"/>
    <w:rsid w:val="0006458E"/>
    <w:rsid w:val="00066790"/>
    <w:rsid w:val="0007794E"/>
    <w:rsid w:val="0009672A"/>
    <w:rsid w:val="000A76E9"/>
    <w:rsid w:val="000B059F"/>
    <w:rsid w:val="000B2743"/>
    <w:rsid w:val="000B276F"/>
    <w:rsid w:val="000B4456"/>
    <w:rsid w:val="000C34C9"/>
    <w:rsid w:val="000D1B39"/>
    <w:rsid w:val="000D6AB9"/>
    <w:rsid w:val="000E1AC5"/>
    <w:rsid w:val="000F28FB"/>
    <w:rsid w:val="00104A89"/>
    <w:rsid w:val="0010618B"/>
    <w:rsid w:val="00131D0E"/>
    <w:rsid w:val="00133B35"/>
    <w:rsid w:val="001411F3"/>
    <w:rsid w:val="00146B2F"/>
    <w:rsid w:val="00162308"/>
    <w:rsid w:val="001657B0"/>
    <w:rsid w:val="001749C3"/>
    <w:rsid w:val="00192D1B"/>
    <w:rsid w:val="00196DBA"/>
    <w:rsid w:val="001B53AA"/>
    <w:rsid w:val="001B65D2"/>
    <w:rsid w:val="001B7701"/>
    <w:rsid w:val="001C3172"/>
    <w:rsid w:val="00206B06"/>
    <w:rsid w:val="00231412"/>
    <w:rsid w:val="00231564"/>
    <w:rsid w:val="00237124"/>
    <w:rsid w:val="00245612"/>
    <w:rsid w:val="00246C48"/>
    <w:rsid w:val="00250A12"/>
    <w:rsid w:val="00256BC6"/>
    <w:rsid w:val="00260D85"/>
    <w:rsid w:val="002941E0"/>
    <w:rsid w:val="002D65E4"/>
    <w:rsid w:val="002E2FEC"/>
    <w:rsid w:val="002F09E9"/>
    <w:rsid w:val="002F160D"/>
    <w:rsid w:val="00312F31"/>
    <w:rsid w:val="003240B9"/>
    <w:rsid w:val="00325061"/>
    <w:rsid w:val="00343641"/>
    <w:rsid w:val="003663D5"/>
    <w:rsid w:val="003702CD"/>
    <w:rsid w:val="00372126"/>
    <w:rsid w:val="003759D8"/>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43ACD"/>
    <w:rsid w:val="004770FF"/>
    <w:rsid w:val="00477432"/>
    <w:rsid w:val="00496F5C"/>
    <w:rsid w:val="004B734C"/>
    <w:rsid w:val="004C6BF6"/>
    <w:rsid w:val="004D414E"/>
    <w:rsid w:val="004E26D2"/>
    <w:rsid w:val="004E525F"/>
    <w:rsid w:val="004F6628"/>
    <w:rsid w:val="00513ECE"/>
    <w:rsid w:val="00515E06"/>
    <w:rsid w:val="00517F4E"/>
    <w:rsid w:val="00536B29"/>
    <w:rsid w:val="0054060F"/>
    <w:rsid w:val="005437B5"/>
    <w:rsid w:val="005441A6"/>
    <w:rsid w:val="005471FD"/>
    <w:rsid w:val="00552DBD"/>
    <w:rsid w:val="00554BA3"/>
    <w:rsid w:val="00561B48"/>
    <w:rsid w:val="00566AAC"/>
    <w:rsid w:val="0056788A"/>
    <w:rsid w:val="00571132"/>
    <w:rsid w:val="00572751"/>
    <w:rsid w:val="00586088"/>
    <w:rsid w:val="0058684B"/>
    <w:rsid w:val="0058774D"/>
    <w:rsid w:val="005A1D6B"/>
    <w:rsid w:val="005B0AF7"/>
    <w:rsid w:val="005B3366"/>
    <w:rsid w:val="005C1CEE"/>
    <w:rsid w:val="005C6D71"/>
    <w:rsid w:val="005E39C8"/>
    <w:rsid w:val="005E783E"/>
    <w:rsid w:val="005F5F80"/>
    <w:rsid w:val="00613A43"/>
    <w:rsid w:val="00620CA2"/>
    <w:rsid w:val="006229A5"/>
    <w:rsid w:val="00636F59"/>
    <w:rsid w:val="00676BB0"/>
    <w:rsid w:val="0068185E"/>
    <w:rsid w:val="00694A01"/>
    <w:rsid w:val="006976E4"/>
    <w:rsid w:val="006E5111"/>
    <w:rsid w:val="00701280"/>
    <w:rsid w:val="00702907"/>
    <w:rsid w:val="007108C7"/>
    <w:rsid w:val="00711CF6"/>
    <w:rsid w:val="00712FBE"/>
    <w:rsid w:val="007133FB"/>
    <w:rsid w:val="00720A00"/>
    <w:rsid w:val="0072130B"/>
    <w:rsid w:val="00723287"/>
    <w:rsid w:val="0072714F"/>
    <w:rsid w:val="00732B54"/>
    <w:rsid w:val="00742320"/>
    <w:rsid w:val="0074261C"/>
    <w:rsid w:val="00764295"/>
    <w:rsid w:val="00765C52"/>
    <w:rsid w:val="00776708"/>
    <w:rsid w:val="00780578"/>
    <w:rsid w:val="007815D7"/>
    <w:rsid w:val="00786A1C"/>
    <w:rsid w:val="007A0BDE"/>
    <w:rsid w:val="007D1DD4"/>
    <w:rsid w:val="007D2615"/>
    <w:rsid w:val="007E1DC7"/>
    <w:rsid w:val="007E6888"/>
    <w:rsid w:val="007F7EB0"/>
    <w:rsid w:val="008024E7"/>
    <w:rsid w:val="008037A1"/>
    <w:rsid w:val="00813969"/>
    <w:rsid w:val="00815D4D"/>
    <w:rsid w:val="0082536D"/>
    <w:rsid w:val="00830288"/>
    <w:rsid w:val="008351E7"/>
    <w:rsid w:val="00844E72"/>
    <w:rsid w:val="0086127A"/>
    <w:rsid w:val="0086747C"/>
    <w:rsid w:val="00881916"/>
    <w:rsid w:val="00896EBF"/>
    <w:rsid w:val="008A5D84"/>
    <w:rsid w:val="008D7146"/>
    <w:rsid w:val="00903F54"/>
    <w:rsid w:val="00911A22"/>
    <w:rsid w:val="009252F2"/>
    <w:rsid w:val="0093098A"/>
    <w:rsid w:val="0093336F"/>
    <w:rsid w:val="00936468"/>
    <w:rsid w:val="0094496B"/>
    <w:rsid w:val="0098025E"/>
    <w:rsid w:val="00996777"/>
    <w:rsid w:val="009B1D44"/>
    <w:rsid w:val="009B6A7B"/>
    <w:rsid w:val="009C1432"/>
    <w:rsid w:val="009C1817"/>
    <w:rsid w:val="009C6B22"/>
    <w:rsid w:val="009D3191"/>
    <w:rsid w:val="009E1F3C"/>
    <w:rsid w:val="009E3725"/>
    <w:rsid w:val="00A051C1"/>
    <w:rsid w:val="00A07C97"/>
    <w:rsid w:val="00A129B6"/>
    <w:rsid w:val="00A166DD"/>
    <w:rsid w:val="00A205EF"/>
    <w:rsid w:val="00A212CC"/>
    <w:rsid w:val="00A214F5"/>
    <w:rsid w:val="00A47574"/>
    <w:rsid w:val="00A60496"/>
    <w:rsid w:val="00A659C9"/>
    <w:rsid w:val="00A76E9B"/>
    <w:rsid w:val="00A87523"/>
    <w:rsid w:val="00A90C5B"/>
    <w:rsid w:val="00A91FD5"/>
    <w:rsid w:val="00A962E3"/>
    <w:rsid w:val="00AB25D1"/>
    <w:rsid w:val="00AC018B"/>
    <w:rsid w:val="00AD1969"/>
    <w:rsid w:val="00AD5FEA"/>
    <w:rsid w:val="00AD7B05"/>
    <w:rsid w:val="00AE0C8E"/>
    <w:rsid w:val="00AE6A52"/>
    <w:rsid w:val="00AF4001"/>
    <w:rsid w:val="00AF47E3"/>
    <w:rsid w:val="00B010EB"/>
    <w:rsid w:val="00B065EC"/>
    <w:rsid w:val="00B15950"/>
    <w:rsid w:val="00B35BB6"/>
    <w:rsid w:val="00B50D38"/>
    <w:rsid w:val="00B516A2"/>
    <w:rsid w:val="00B57009"/>
    <w:rsid w:val="00B60142"/>
    <w:rsid w:val="00B667C2"/>
    <w:rsid w:val="00B82808"/>
    <w:rsid w:val="00B85039"/>
    <w:rsid w:val="00B86635"/>
    <w:rsid w:val="00B917C1"/>
    <w:rsid w:val="00BA575A"/>
    <w:rsid w:val="00BB7C54"/>
    <w:rsid w:val="00BD1FEF"/>
    <w:rsid w:val="00BD351B"/>
    <w:rsid w:val="00BF01C4"/>
    <w:rsid w:val="00BF3636"/>
    <w:rsid w:val="00BF65E2"/>
    <w:rsid w:val="00C11D01"/>
    <w:rsid w:val="00C35904"/>
    <w:rsid w:val="00C35A76"/>
    <w:rsid w:val="00C502EC"/>
    <w:rsid w:val="00C73263"/>
    <w:rsid w:val="00C77F5B"/>
    <w:rsid w:val="00C8181E"/>
    <w:rsid w:val="00C9319D"/>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E3A8A"/>
    <w:rsid w:val="00DF0E48"/>
    <w:rsid w:val="00E00127"/>
    <w:rsid w:val="00E0369F"/>
    <w:rsid w:val="00E055B0"/>
    <w:rsid w:val="00E33089"/>
    <w:rsid w:val="00E47087"/>
    <w:rsid w:val="00E52B72"/>
    <w:rsid w:val="00E61735"/>
    <w:rsid w:val="00E75E35"/>
    <w:rsid w:val="00E80864"/>
    <w:rsid w:val="00EA15D4"/>
    <w:rsid w:val="00EA4F50"/>
    <w:rsid w:val="00EB5796"/>
    <w:rsid w:val="00EB7653"/>
    <w:rsid w:val="00EC44C8"/>
    <w:rsid w:val="00ED5E09"/>
    <w:rsid w:val="00EF7C6A"/>
    <w:rsid w:val="00F0048D"/>
    <w:rsid w:val="00F03905"/>
    <w:rsid w:val="00F0765E"/>
    <w:rsid w:val="00F1138B"/>
    <w:rsid w:val="00F30AAE"/>
    <w:rsid w:val="00F43168"/>
    <w:rsid w:val="00F65BD4"/>
    <w:rsid w:val="00F92246"/>
    <w:rsid w:val="00F94E14"/>
    <w:rsid w:val="00FA1ABC"/>
    <w:rsid w:val="00FA7565"/>
    <w:rsid w:val="00FC0EDE"/>
    <w:rsid w:val="00FC2EA9"/>
    <w:rsid w:val="00FC3988"/>
    <w:rsid w:val="00FC4419"/>
    <w:rsid w:val="00FC5BD5"/>
    <w:rsid w:val="00FC7615"/>
    <w:rsid w:val="00FD4AC0"/>
    <w:rsid w:val="00FD6A88"/>
    <w:rsid w:val="00FD7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2147</TotalTime>
  <Pages>5</Pages>
  <Words>8707</Words>
  <Characters>47891</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JAVIER ANDRES MENDOZA ROCHA</cp:lastModifiedBy>
  <cp:revision>21</cp:revision>
  <dcterms:created xsi:type="dcterms:W3CDTF">2021-12-06T01:10:00Z</dcterms:created>
  <dcterms:modified xsi:type="dcterms:W3CDTF">2022-04-08T04:51:00Z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