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sz w:val="28"/>
        </w:rPr>
      </w:r>
    </w:p>
    <w:p>
      <w:r>
        <w:rPr>
          <w:rFonts w:ascii="Times New Roman" w:hAnsi="Times New Roman"/>
          <w:sz w:val="28"/>
        </w:rPr>
      </w:r>
    </w:p>
    <w:p>
      <w:r>
        <w:rPr>
          <w:rFonts w:ascii="Times New Roman" w:hAnsi="Times New Roman"/>
          <w:sz w:val="28"/>
        </w:rPr>
      </w:r>
    </w:p>
    <w:p>
      <w:r>
        <w:rPr>
          <w:rFonts w:ascii="Times New Roman" w:hAnsi="Times New Roman"/>
          <w:sz w:val="28"/>
        </w:rPr>
      </w:r>
    </w:p>
    <w:p>
      <w:r>
        <w:rPr>
          <w:rFonts w:ascii="Times New Roman" w:hAnsi="Times New Roman"/>
          <w:sz w:val="28"/>
        </w:rPr>
      </w:r>
    </w:p>
    <w:p>
      <w:r>
        <w:rPr>
          <w:rFonts w:ascii="Times New Roman" w:hAnsi="Times New Roman"/>
          <w:sz w:val="28"/>
        </w:rPr>
      </w:r>
    </w:p>
    <w:p>
      <w:r>
        <w:rPr>
          <w:rFonts w:ascii="Times New Roman" w:hAnsi="Times New Roman"/>
          <w:sz w:val="28"/>
        </w:rPr>
      </w:r>
    </w:p>
    <w:p>
      <w:r>
        <w:rPr>
          <w:rFonts w:ascii="Times New Roman" w:hAnsi="Times New Roman"/>
          <w:sz w:val="28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9352"/>
            <w:gridSpan w:val="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09.02.07.06.001 ПЗ</w:t>
            </w:r>
          </w:p>
        </w:tc>
      </w:tr>
      <w:tr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Изм.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Лист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№ докум.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Подпись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Дата</w:t>
            </w:r>
          </w:p>
        </w:tc>
        <w:tc>
          <w:tcPr>
            <w:tcW w:type="dxa" w:w="2672"/>
            <w:gridSpan w:val="2"/>
          </w:tcPr>
          <w:p/>
        </w:tc>
      </w:tr>
      <w:tr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Разраб.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72"/>
            <w:gridSpan w:val="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РАЗРАБОТКА ОБРАЗОВАТЕЛЬНОЙ ПЛАТФОРМЫ ДЛЯ ИЗУЧЕНИЯ ПРОГРАММИРОВАНИЯ «CODEPATH»</w:t>
            </w:r>
          </w:p>
        </w:tc>
      </w:tr>
      <w:tr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Провер.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72"/>
            <w:gridSpan w:val="2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Лит.        Листов        19</w:t>
            </w:r>
          </w:p>
        </w:tc>
      </w:tr>
      <w:tr>
        <w:tc>
          <w:tcPr>
            <w:tcW w:type="dxa" w:w="1336"/>
          </w:tcPr>
          <w:p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336"/>
          </w:tcPr>
          <w:p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336"/>
          </w:tcPr>
          <w:p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336"/>
          </w:tcPr>
          <w:p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336"/>
          </w:tcPr>
          <w:p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72"/>
            <w:gridSpan w:val="2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15.ИСиП.22.ОФ.О.4</w:t>
            </w:r>
          </w:p>
        </w:tc>
      </w:tr>
    </w:tbl>
    <w:p>
      <w:r>
        <w:br w:type="page"/>
      </w:r>
    </w:p>
    <w:p>
      <w:bookmarkStart w:id="1" w:name="bm_contents"/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Содержание</w:t>
      </w:r>
      <w:bookmarkEnd w:id="1"/>
    </w:p>
    <w:p>
      <w:hyperlink w:anchor="bm_intro">
        <w:r>
          <w:rPr>
            <w:rStyle w:val="Hyperlink"/>
            <w:rFonts w:ascii="Times New Roman" w:hAnsi="Times New Roman"/>
            <w:sz w:val="28"/>
            <w:color w:val="000000"/>
            <w:u w:val="none"/>
          </w:rPr>
          <w:t xml:space="preserve">Введение</w:t>
        </w:r>
        <w:r>
          <w:rPr>
            <w:rStyle w:val="Hyperlink"/>
            <w:rFonts w:ascii="Times New Roman" w:hAnsi="Times New Roman"/>
            <w:sz w:val="28"/>
            <w:color w:val="000000"/>
            <w:u w:val="none"/>
          </w:rPr>
          <w:t xml:space="preserve">	5</w:t>
        </w:r>
      </w:hyperlink>
    </w:p>
    <w:p>
      <w:hyperlink w:anchor="bm_r1">
        <w:r>
          <w:rPr>
            <w:rStyle w:val="Hyperlink"/>
            <w:rFonts w:ascii="Times New Roman" w:hAnsi="Times New Roman"/>
            <w:sz w:val="28"/>
            <w:color w:val="000000"/>
            <w:u w:val="none"/>
          </w:rPr>
          <w:t xml:space="preserve">Раздел 1. Анализ предметной области</w:t>
        </w:r>
        <w:r>
          <w:rPr>
            <w:rStyle w:val="Hyperlink"/>
            <w:rFonts w:ascii="Times New Roman" w:hAnsi="Times New Roman"/>
            <w:sz w:val="28"/>
            <w:color w:val="000000"/>
            <w:u w:val="none"/>
          </w:rPr>
          <w:t xml:space="preserve">	6</w:t>
        </w:r>
      </w:hyperlink>
    </w:p>
    <w:p>
      <w:pPr>
        <w:ind w:left="567"/>
      </w:pPr>
      <w:hyperlink w:anchor="bm_11">
        <w:r>
          <w:rPr>
            <w:rStyle w:val="Hyperlink"/>
            <w:rFonts w:ascii="Times New Roman" w:hAnsi="Times New Roman"/>
            <w:sz w:val="28"/>
            <w:color w:val="000000"/>
            <w:u w:val="none"/>
          </w:rPr>
          <w:t xml:space="preserve">1.1. Сбор данных</w:t>
        </w:r>
        <w:r>
          <w:rPr>
            <w:rStyle w:val="Hyperlink"/>
            <w:rFonts w:ascii="Times New Roman" w:hAnsi="Times New Roman"/>
            <w:sz w:val="28"/>
            <w:color w:val="000000"/>
            <w:u w:val="none"/>
          </w:rPr>
          <w:t xml:space="preserve">	6</w:t>
        </w:r>
      </w:hyperlink>
    </w:p>
    <w:p>
      <w:pPr>
        <w:ind w:left="567"/>
      </w:pPr>
      <w:hyperlink w:anchor="bm_12">
        <w:r>
          <w:rPr>
            <w:rStyle w:val="Hyperlink"/>
            <w:rFonts w:ascii="Times New Roman" w:hAnsi="Times New Roman"/>
            <w:sz w:val="28"/>
            <w:color w:val="000000"/>
            <w:u w:val="none"/>
          </w:rPr>
          <w:t xml:space="preserve">1.2. Обоснование необходимости создания автоматизированной системы</w:t>
        </w:r>
        <w:r>
          <w:rPr>
            <w:rStyle w:val="Hyperlink"/>
            <w:rFonts w:ascii="Times New Roman" w:hAnsi="Times New Roman"/>
            <w:sz w:val="28"/>
            <w:color w:val="000000"/>
            <w:u w:val="none"/>
          </w:rPr>
          <w:t xml:space="preserve">	6</w:t>
        </w:r>
      </w:hyperlink>
    </w:p>
    <w:p>
      <w:pPr>
        <w:ind w:left="567"/>
      </w:pPr>
      <w:hyperlink w:anchor="bm_13">
        <w:r>
          <w:rPr>
            <w:rStyle w:val="Hyperlink"/>
            <w:rFonts w:ascii="Times New Roman" w:hAnsi="Times New Roman"/>
            <w:sz w:val="28"/>
            <w:color w:val="000000"/>
            <w:u w:val="none"/>
          </w:rPr>
          <w:t xml:space="preserve">1.3. Предлагаемое решение</w:t>
        </w:r>
        <w:r>
          <w:rPr>
            <w:rStyle w:val="Hyperlink"/>
            <w:rFonts w:ascii="Times New Roman" w:hAnsi="Times New Roman"/>
            <w:sz w:val="28"/>
            <w:color w:val="000000"/>
            <w:u w:val="none"/>
          </w:rPr>
          <w:t xml:space="preserve">	6</w:t>
        </w:r>
      </w:hyperlink>
    </w:p>
    <w:p>
      <w:hyperlink w:anchor="bm_r2">
        <w:r>
          <w:rPr>
            <w:rStyle w:val="Hyperlink"/>
            <w:rFonts w:ascii="Times New Roman" w:hAnsi="Times New Roman"/>
            <w:sz w:val="28"/>
            <w:color w:val="000000"/>
            <w:u w:val="none"/>
          </w:rPr>
          <w:t xml:space="preserve">Раздел 2. Технология разработки программного продукта заказчика</w:t>
        </w:r>
        <w:r>
          <w:rPr>
            <w:rStyle w:val="Hyperlink"/>
            <w:rFonts w:ascii="Times New Roman" w:hAnsi="Times New Roman"/>
            <w:sz w:val="28"/>
            <w:color w:val="000000"/>
            <w:u w:val="none"/>
          </w:rPr>
          <w:t xml:space="preserve">	7</w:t>
        </w:r>
      </w:hyperlink>
    </w:p>
    <w:p>
      <w:pPr>
        <w:ind w:left="567"/>
      </w:pPr>
      <w:hyperlink w:anchor="bm_21">
        <w:r>
          <w:rPr>
            <w:rStyle w:val="Hyperlink"/>
            <w:rFonts w:ascii="Times New Roman" w:hAnsi="Times New Roman"/>
            <w:sz w:val="28"/>
            <w:color w:val="000000"/>
            <w:u w:val="none"/>
          </w:rPr>
          <w:t xml:space="preserve">2.1. Описание разработки программного изделия</w:t>
        </w:r>
        <w:r>
          <w:rPr>
            <w:rStyle w:val="Hyperlink"/>
            <w:rFonts w:ascii="Times New Roman" w:hAnsi="Times New Roman"/>
            <w:sz w:val="28"/>
            <w:color w:val="000000"/>
            <w:u w:val="none"/>
          </w:rPr>
          <w:t xml:space="preserve">	7</w:t>
        </w:r>
      </w:hyperlink>
    </w:p>
    <w:p>
      <w:pPr>
        <w:ind w:left="567"/>
      </w:pPr>
      <w:hyperlink w:anchor="bm_22">
        <w:r>
          <w:rPr>
            <w:rStyle w:val="Hyperlink"/>
            <w:rFonts w:ascii="Times New Roman" w:hAnsi="Times New Roman"/>
            <w:sz w:val="28"/>
            <w:color w:val="000000"/>
            <w:u w:val="none"/>
          </w:rPr>
          <w:t xml:space="preserve">2.2. Описание программного продукта</w:t>
        </w:r>
        <w:r>
          <w:rPr>
            <w:rStyle w:val="Hyperlink"/>
            <w:rFonts w:ascii="Times New Roman" w:hAnsi="Times New Roman"/>
            <w:sz w:val="28"/>
            <w:color w:val="000000"/>
            <w:u w:val="none"/>
          </w:rPr>
          <w:t xml:space="preserve">	7</w:t>
        </w:r>
      </w:hyperlink>
    </w:p>
    <w:p>
      <w:pPr>
        <w:ind w:left="567"/>
      </w:pPr>
      <w:hyperlink w:anchor="bm_221">
        <w:r>
          <w:rPr>
            <w:rStyle w:val="Hyperlink"/>
            <w:rFonts w:ascii="Times New Roman" w:hAnsi="Times New Roman"/>
            <w:sz w:val="28"/>
            <w:color w:val="000000"/>
            <w:u w:val="none"/>
          </w:rPr>
          <w:t xml:space="preserve">2.2.1. Выбор среды программирования</w:t>
        </w:r>
        <w:r>
          <w:rPr>
            <w:rStyle w:val="Hyperlink"/>
            <w:rFonts w:ascii="Times New Roman" w:hAnsi="Times New Roman"/>
            <w:sz w:val="28"/>
            <w:color w:val="000000"/>
            <w:u w:val="none"/>
          </w:rPr>
          <w:t xml:space="preserve">	7</w:t>
        </w:r>
      </w:hyperlink>
    </w:p>
    <w:p>
      <w:pPr>
        <w:ind w:left="567"/>
      </w:pPr>
      <w:hyperlink w:anchor="bm_222">
        <w:r>
          <w:rPr>
            <w:rStyle w:val="Hyperlink"/>
            <w:rFonts w:ascii="Times New Roman" w:hAnsi="Times New Roman"/>
            <w:sz w:val="28"/>
            <w:color w:val="000000"/>
            <w:u w:val="none"/>
          </w:rPr>
          <w:t xml:space="preserve">2.2.2. Структура информационной системы проекта</w:t>
        </w:r>
        <w:r>
          <w:rPr>
            <w:rStyle w:val="Hyperlink"/>
            <w:rFonts w:ascii="Times New Roman" w:hAnsi="Times New Roman"/>
            <w:sz w:val="28"/>
            <w:color w:val="000000"/>
            <w:u w:val="none"/>
          </w:rPr>
          <w:t xml:space="preserve">	8</w:t>
        </w:r>
      </w:hyperlink>
    </w:p>
    <w:p>
      <w:hyperlink w:anchor="bm_r3">
        <w:r>
          <w:rPr>
            <w:rStyle w:val="Hyperlink"/>
            <w:rFonts w:ascii="Times New Roman" w:hAnsi="Times New Roman"/>
            <w:sz w:val="28"/>
            <w:color w:val="000000"/>
            <w:u w:val="none"/>
          </w:rPr>
          <w:t xml:space="preserve">Раздел 3. Организация работ по внедрению программного продукта</w:t>
        </w:r>
        <w:r>
          <w:rPr>
            <w:rStyle w:val="Hyperlink"/>
            <w:rFonts w:ascii="Times New Roman" w:hAnsi="Times New Roman"/>
            <w:sz w:val="28"/>
            <w:color w:val="000000"/>
            <w:u w:val="none"/>
          </w:rPr>
          <w:t xml:space="preserve">	9</w:t>
        </w:r>
      </w:hyperlink>
    </w:p>
    <w:p>
      <w:pPr>
        <w:ind w:left="567"/>
      </w:pPr>
      <w:hyperlink w:anchor="bm_31">
        <w:r>
          <w:rPr>
            <w:rStyle w:val="Hyperlink"/>
            <w:rFonts w:ascii="Times New Roman" w:hAnsi="Times New Roman"/>
            <w:sz w:val="28"/>
            <w:color w:val="000000"/>
            <w:u w:val="none"/>
          </w:rPr>
          <w:t xml:space="preserve">3.1. Установка и настройка компонентов программного продукта</w:t>
        </w:r>
        <w:r>
          <w:rPr>
            <w:rStyle w:val="Hyperlink"/>
            <w:rFonts w:ascii="Times New Roman" w:hAnsi="Times New Roman"/>
            <w:sz w:val="28"/>
            <w:color w:val="000000"/>
            <w:u w:val="none"/>
          </w:rPr>
          <w:t xml:space="preserve">	9</w:t>
        </w:r>
      </w:hyperlink>
    </w:p>
    <w:p>
      <w:pPr>
        <w:ind w:left="567"/>
      </w:pPr>
      <w:hyperlink w:anchor="bm_32">
        <w:r>
          <w:rPr>
            <w:rStyle w:val="Hyperlink"/>
            <w:rFonts w:ascii="Times New Roman" w:hAnsi="Times New Roman"/>
            <w:sz w:val="28"/>
            <w:color w:val="000000"/>
            <w:u w:val="none"/>
          </w:rPr>
          <w:t xml:space="preserve">3.2. Тестирование компонентов программного продукта</w:t>
        </w:r>
        <w:r>
          <w:rPr>
            <w:rStyle w:val="Hyperlink"/>
            <w:rFonts w:ascii="Times New Roman" w:hAnsi="Times New Roman"/>
            <w:sz w:val="28"/>
            <w:color w:val="000000"/>
            <w:u w:val="none"/>
          </w:rPr>
          <w:t xml:space="preserve">	9</w:t>
        </w:r>
      </w:hyperlink>
    </w:p>
    <w:p>
      <w:pPr>
        <w:ind w:left="567"/>
      </w:pPr>
      <w:hyperlink w:anchor="bm_33">
        <w:r>
          <w:rPr>
            <w:rStyle w:val="Hyperlink"/>
            <w:rFonts w:ascii="Times New Roman" w:hAnsi="Times New Roman"/>
            <w:sz w:val="28"/>
            <w:color w:val="000000"/>
            <w:u w:val="none"/>
          </w:rPr>
          <w:t xml:space="preserve">3.3. Расчет технико-экономических показателей</w:t>
        </w:r>
        <w:r>
          <w:rPr>
            <w:rStyle w:val="Hyperlink"/>
            <w:rFonts w:ascii="Times New Roman" w:hAnsi="Times New Roman"/>
            <w:sz w:val="28"/>
            <w:color w:val="000000"/>
            <w:u w:val="none"/>
          </w:rPr>
          <w:t xml:space="preserve">	9</w:t>
        </w:r>
      </w:hyperlink>
    </w:p>
    <w:p>
      <w:hyperlink w:anchor="bm_conclusion">
        <w:r>
          <w:rPr>
            <w:rStyle w:val="Hyperlink"/>
            <w:rFonts w:ascii="Times New Roman" w:hAnsi="Times New Roman"/>
            <w:sz w:val="28"/>
            <w:color w:val="000000"/>
            <w:u w:val="none"/>
          </w:rPr>
          <w:t xml:space="preserve">Заключение</w:t>
        </w:r>
        <w:r>
          <w:rPr>
            <w:rStyle w:val="Hyperlink"/>
            <w:rFonts w:ascii="Times New Roman" w:hAnsi="Times New Roman"/>
            <w:sz w:val="28"/>
            <w:color w:val="000000"/>
            <w:u w:val="none"/>
          </w:rPr>
          <w:t xml:space="preserve">	15</w:t>
        </w:r>
      </w:hyperlink>
    </w:p>
    <w:p>
      <w:hyperlink w:anchor="bm_lit">
        <w:r>
          <w:rPr>
            <w:rStyle w:val="Hyperlink"/>
            <w:rFonts w:ascii="Times New Roman" w:hAnsi="Times New Roman"/>
            <w:sz w:val="28"/>
            <w:color w:val="000000"/>
            <w:u w:val="none"/>
          </w:rPr>
          <w:t xml:space="preserve">Список используемой литературы</w:t>
        </w:r>
        <w:r>
          <w:rPr>
            <w:rStyle w:val="Hyperlink"/>
            <w:rFonts w:ascii="Times New Roman" w:hAnsi="Times New Roman"/>
            <w:sz w:val="28"/>
            <w:color w:val="000000"/>
            <w:u w:val="none"/>
          </w:rPr>
          <w:t xml:space="preserve">	16</w:t>
        </w:r>
      </w:hyperlink>
    </w:p>
    <w:p>
      <w:pPr>
        <w:ind w:left="850"/>
      </w:pPr>
      <w:r>
        <w:rPr>
          <w:rFonts w:ascii="Times New Roman" w:hAnsi="Times New Roman"/>
          <w:sz w:val="28"/>
        </w:rPr>
        <w:t>Приложение 1. Эскизный проект</w:t>
      </w:r>
    </w:p>
    <w:p>
      <w:pPr>
        <w:ind w:left="850"/>
      </w:pPr>
      <w:r>
        <w:rPr>
          <w:rFonts w:ascii="Times New Roman" w:hAnsi="Times New Roman"/>
          <w:sz w:val="28"/>
        </w:rPr>
        <w:t>Приложение 2. Рабочий проект</w:t>
      </w:r>
    </w:p>
    <w:p>
      <w:pPr>
        <w:ind w:left="850"/>
      </w:pPr>
      <w:r>
        <w:rPr>
          <w:rFonts w:ascii="Times New Roman" w:hAnsi="Times New Roman"/>
          <w:sz w:val="28"/>
        </w:rPr>
        <w:t>Приложение 3. Руководство пользователя</w:t>
      </w:r>
    </w:p>
    <w:p>
      <w:r>
        <w:br w:type="page"/>
      </w:r>
    </w:p>
    <w:p>
      <w:bookmarkStart w:id="2" w:name="bm_intro"/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Введение</w:t>
      </w:r>
      <w:bookmarkEnd w:id="2"/>
    </w:p>
    <w:p>
      <w:pPr>
        <w:ind w:firstLine="709"/>
        <w:jc w:val="both"/>
      </w:pPr>
      <w:r>
        <w:rPr>
          <w:rFonts w:ascii="Times New Roman" w:hAnsi="Times New Roman"/>
          <w:sz w:val="28"/>
        </w:rPr>
        <w:t>На текущем этапе развития цифровых технологий и массового внедрения высокоскоростного интернета индустрия онлайн-образования демонстрирует непрерывное и беспримерное развитие, превратившись в настоящее глобальное социокультурное явление. Стремительная эволюция интерактивных образовательных платформ ярко продемонстрировала формирование многочисленных и различных обучающих сообществ, которые стали центрами обмена знаниями, совместного обучения и профессионального развития. В то же время в этих сообществах потребность в едином, структурированном и функциональном цифровом пространстве для изучения программирования часто не может быть адекватно удовлетворена существующими массовыми площадками. Развитие современных веб-фреймворков, облачных сервисов и гибких баз данных обеспечивает технологическую базу для создания специализированных образовательных платформ, которые могут стать полноценными «цифровыми хабами» для начинающих и опытных программистов, консолидируя учебный контент, практику и отслеживание прогресса.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Занятие разработкой интерактивной образовательной платформы для изучения программирования относится к области веб-инженерии, проектирования образовательных IT-платформ и человеко-компьютерному взаимодействию (HCI). Применение вычислительных средств и программного обеспечения в этой области направлено на решение насущных проблем организации образовательного процесса: обеспечение качественного структурирования и хранения учебного контента (теоретических материалов, практических заданий, тестов), поддержка интерактивного выполнения кода в реальном времени, а также внедрение инструментов геймификации и отслеживания прогресса обучения. Перспективы развития плотно завязаны на интеграцию искусственного интеллекта для персонализированных рекомендаций по обучению, адаптивную сложность заданий на основе уровня подготовки пользователя и построение сложных систем мотивации. Решаемая задача напрямую завязана на проблемы образовательной индустрии, поскольку отсутствие качественной интерактивной платформы приводит к низкой вовлеченности обучающихся, потере мотивации, фрагментации учебных материалов и усложнению процесса самостоятельного обучения.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На рынке уже существует ряд программных решений и онлайн-платформ, которые активно используются для изучения программирования. Среди наиболее распространённых можно выделить такие сервисы, как Codecademy, freeCodeCamp, LeetCode, а также классические MOOC-платформы на базе Coursera или Stepik. Эти платформы предоставляют пользователям базовый функционал для обучения: текстовые и видеоуроки, создание тематических курсов, систему проверки заданий и возможность отслеживания прогресса. Они стали де-факто стандартом для самостоятельного изучения программирования.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Однако эти решения обладают рядом существенных недостатков, которые обуславливают актуальность создания специализированной образовательной платформы: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фрагментация информации и отсутствие структуры. Платформы вроде freeCodeCamp предоставляют обширный материал, но навигация по курсам зачастую неудобна, а важные концепции могут теряться среди множества разрозненных уроков, что приводит к трудностям в выстраивании последовательного пути обучения;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перегруженность и отвлекающие факторы. Крупные платформы, такие как Coursera или Udemy, перегружены рекламой, алгоритмической лентой, контентом из других областей и избыточными функциями, что отвлекает пользователя от конкретных целей изучения программирования и усложняет навигацию;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устаревший или неадаптивный интерфейс. Многие образовательные платформы обладают интерфейсом, который морально и визуально устарел, не соответствует современным стандартам UX/UI и зачастую плохо адаптируется для мобильных устройств, что снижает вовлеченность аудитории;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отсутствие интерактивного выполнения кода. Существующие решения, как правило, либо не предоставляют встроенную среду выполнения кода, либо реализуют её с серьёзными ограничениями: невозможность тестирования решений в реальном времени, отсутствие автоматической проверки с тест-кейсами, невозможность работы с несколькими языками программирования;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слабая система мотивации. Управление мотивацией на этих платформах ограничено простыми счётчиками пройденных уроков без комплексной геймификации: очков опыта, уровней, серий обучения, достижений и таблиц лидеров;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платный доступ к ключевому контенту. Зависимость от подписочной модели означает, что значительная часть учебных материалов и практических заданий закрыта за платной стеной, что создаёт барьер для начинающих программистов.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Актуальность разработки собственной интерактивной образовательной платформы для изучения программирования заключается в возможности создания целостной, управляемой и современной цифровой среды, которая устраняет указанные недостатки. Преимуществами создаваемого программного продукта являются: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единое структурированное пространство. Объединение теоретических уроков, интерактивных квизов, практических заданий с выполнением кода и системы отслеживания прогресса в рамках одной платформы, где информация имеет четкую иерархию и последовательный путь обучения;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современный и адаптивный пользовательский интерфейс. Разработка с использованием актуальных фреймворков обеспечит высокую скорость работы, интуитивную навигацию и безупречное отображение на всех типах устройств, включая мобильные;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встроенная среда выполнения кода. Комплексная система с редактором кода, автоматической проверкой решений через тест-кейсы и поддержкой множества языков программирования (Python, JavaScript, HTML, CSS, SQL, C++, Java), позволяющая практиковаться прямо в браузере;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комплексная система геймификации. Мотивация пользователей через систему очков опыта (XP), уровней, серий обучения (streak), достижений (бейджей) и глобальной таблицы лидеров;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контроль над данными и независимость. Развертывание платформы на собственной инфраструктуре гарантирует полный контроль над контентом, дизайном, функционалом и долгосрочную стабильность работы, независимо от политики внешних платформ.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Таким образом, разработка специализированной интерактивной образовательной платформы направлена на создание оптимальной цифровой экосистемы для изучения программирования, предлагая консолидированную альтернативу разрозненным и неспециализированным решениям за счёт комплексного подхода, ориентированного на пользователя и специфику образовательного процесса.</w:t>
      </w:r>
    </w:p>
    <w:p>
      <w:r>
        <w:br w:type="page"/>
      </w:r>
    </w:p>
    <w:p>
      <w:bookmarkStart w:id="3" w:name="bm_r1"/>
      <w:pPr>
        <w:spacing w:before="240" w:after="120"/>
        <w:jc w:val="center"/>
      </w:pPr>
      <w:r>
        <w:rPr>
          <w:rFonts w:ascii="Times New Roman" w:hAnsi="Times New Roman"/>
          <w:b/>
          <w:sz w:val="28"/>
        </w:rPr>
        <w:t>Раздел 1. Анализ предметной области</w:t>
      </w:r>
      <w:bookmarkEnd w:id="3"/>
    </w:p>
    <w:p>
      <w:bookmarkStart w:id="4" w:name="bm_11"/>
      <w:pPr>
        <w:spacing w:before="240" w:after="120"/>
        <w:jc w:val="center"/>
      </w:pPr>
      <w:r>
        <w:rPr>
          <w:rFonts w:ascii="Times New Roman" w:hAnsi="Times New Roman"/>
          <w:b/>
          <w:sz w:val="28"/>
        </w:rPr>
        <w:t>1.1 Сбор данных</w:t>
      </w:r>
      <w:bookmarkEnd w:id="4"/>
    </w:p>
    <w:p>
      <w:pPr>
        <w:ind w:firstLine="709"/>
        <w:jc w:val="both"/>
      </w:pPr>
      <w:r>
        <w:rPr>
          <w:rFonts w:ascii="Times New Roman" w:hAnsi="Times New Roman"/>
          <w:sz w:val="28"/>
        </w:rPr>
        <w:t>Предметная область — интерактивные образовательные платформы и сервисы для изучения программирования, предназначенные для обмена знаниями, прохождения структурированных курсов, выполнения практических заданий и отслеживания прогресса обучения.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В ходе сбора данных выполнен анализ типовых решений и пользовательских сценариев, характерных для образовательных платформ по программированию. Выделены основные направления деятельности подобных ресурсов: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создание и поддержка структурированных курсов по различным языкам программирования (Python, JavaScript, HTML, CSS, SQL, C++, Java);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предоставление инструментов для интерактивного обучения (встроенный редактор кода, автоматическая проверка решений, мгновенная обратная связь);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организация и каталогизация учебного контента: теоретических уроков, квизов, практических заданий с тест-кейсами;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геймификация учебного процесса: система очков опыта, уровней, достижений и таблиц лидеров.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Заинтересованные лица (стейкхолдеры) в создании проекта следующие: учащиеся, преподаватели-авторы контента, администраторы: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учащиеся — основная аудитория платформы: как новички, делающие первые шаги в программировании и ищущие структурированный путь обучения, так и опытные разработчики, желающие освоить новый язык или закрепить имеющиеся навыки;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преподаватели-авторы контента — уполномоченные представители, создающие курсы, модули и уроки. Занимаются разработкой теоретических материалов, формулированием вопросов квизов и практических заданий с тест-кейсами;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системный администратор — технический специалист, обеспечивающий работоспособность серверной инфраструктуры, безопасность, управление пользователями, контролем контента и правами доступа для других ролей.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К функциям стейкхолдеров относятся: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учащиеся выполняют регистрацию и ведение личного профиля, просмотр каталога доступных курсов, запись на курсы, прохождение теоретических уроков, выполнение квизов с немедленной обратной связью и объяснениями ответов, решение практических задач с написанием кода в встроенном редакторе и проверкой через тест-кейсы, отслеживание прогресса, поддержание серий обучения (streak) и получение достижений, а также участие в глобальной таблице лидеров;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преподаватели-авторы контента выполняют создание курсов с описанием, уровнем сложности и языком программирования, организацию курса в модули и уроки, наполнение теоретических уроков учебным материалом, формулирование вопросов квизов с вариантами ответов и объяснениями, создание практических заданий с инструкциями, стартовым кодом, подсказками и тест-кейсами;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администратор системы выполняет управление учётными записями и ролями пользователей, настройку прав доступа, создание и управление контентом через административную панель, мониторинг статистики платформы, поддержку работоспособности информационной системы.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В данной предметной области используются и обрабатываются следующие данные: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пользовательские данные включают параметры учётной записи (уникальный идентификатор, имя пользователя, хэш пароля, адрес электронной почты, дата регистрации), сведения профиля (аватар, отображаемое имя), а также системные параметры (роль на платформе);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данные геймификации включают общее количество заработанных очков опыта (XP), текущий уровень пользователя, информацию о сериях обучения (текущая серия, максимальная серия, дата последней активности), а также полученные достижения (бейджи);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данные курсов и обучения включают структуру курсов (курсы, модули, уроки), описание курсов (название, язык, сложность, количество уроков, расчётное время прохождения, награда в XP), содержание уроков, а также тест-кейсы для проверки решений;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данные прогресса пользователя включают записи о завершённых уроках, записи о записях на курсы (дата начала, статус завершения, прогресс);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справочные данные включают перечень языков программирования, уровней сложности курсов, типов уроков (теория, квиз, практика), а также каталог достижений с описаниями и иконками.</w:t>
      </w:r>
    </w:p>
    <w:p>
      <w:bookmarkStart w:id="5" w:name="bm_12"/>
      <w:pPr>
        <w:spacing w:before="240" w:after="120"/>
        <w:jc w:val="center"/>
      </w:pPr>
      <w:r>
        <w:rPr>
          <w:rFonts w:ascii="Times New Roman" w:hAnsi="Times New Roman"/>
          <w:b/>
          <w:sz w:val="28"/>
        </w:rPr>
        <w:t>1.2. Обоснование необходимости создания автоматизированной системы</w:t>
      </w:r>
      <w:bookmarkEnd w:id="5"/>
    </w:p>
    <w:p>
      <w:pPr>
        <w:ind w:firstLine="709"/>
        <w:jc w:val="both"/>
      </w:pPr>
      <w:r>
        <w:rPr>
          <w:rFonts w:ascii="Times New Roman" w:hAnsi="Times New Roman"/>
          <w:sz w:val="28"/>
        </w:rPr>
        <w:t>Основываясь на собранных данных, была создана модель бизнес-процесса, дающая возможность всестороннего анализа. С применением методологии функционального моделирования IDEF0 или BPMN была построена функциональная модель, представляющая собой структуру и функции, а также потоки информации и материальных объектов, связывающие эти функции. Первая диаграмма (контекстная) в иерархии диаграмм IDEF0 всегда изображает функционирование системы в целом.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[pic]</w:t>
      </w:r>
    </w:p>
    <w:p>
      <w:pPr>
        <w:jc w:val="center"/>
      </w:pPr>
      <w:r>
        <w:rPr>
          <w:rFonts w:ascii="Times New Roman" w:hAnsi="Times New Roman"/>
          <w:i/>
          <w:sz w:val="24"/>
        </w:rPr>
        <w:t>Рисунок 1 – Общий вид контекстной диаграммы IDEF0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Для того чтобы сформулировать общие требования к функциональному поведению проектируемой системы строится диаграмма использования, на которой изображаются отношения между стейкхолдерами. Данная модель представлена на примере (см. рисунок 2).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[pic]</w:t>
      </w:r>
    </w:p>
    <w:p>
      <w:pPr>
        <w:jc w:val="center"/>
      </w:pPr>
      <w:r>
        <w:rPr>
          <w:rFonts w:ascii="Times New Roman" w:hAnsi="Times New Roman"/>
          <w:i/>
          <w:sz w:val="24"/>
        </w:rPr>
        <w:t>Рисунок 2 – диаграмма вариантов</w:t>
      </w:r>
    </w:p>
    <w:p>
      <w:bookmarkStart w:id="6" w:name="bm_13"/>
      <w:pPr>
        <w:spacing w:before="240" w:after="120"/>
        <w:jc w:val="center"/>
      </w:pPr>
      <w:r>
        <w:rPr>
          <w:rFonts w:ascii="Times New Roman" w:hAnsi="Times New Roman"/>
          <w:b/>
          <w:sz w:val="28"/>
        </w:rPr>
        <w:t>1.3. Предлагаемое решение</w:t>
      </w:r>
      <w:bookmarkEnd w:id="6"/>
    </w:p>
    <w:p>
      <w:pPr>
        <w:ind w:firstLine="709"/>
        <w:jc w:val="both"/>
      </w:pPr>
      <w:r>
        <w:rPr>
          <w:rFonts w:ascii="Times New Roman" w:hAnsi="Times New Roman"/>
          <w:sz w:val="28"/>
        </w:rPr>
        <w:t>Учитывая проведенный анализ предметной области, выявленные недостатки существующих рыночных решений и сформулированные потребности ключевых стейкхолдеров (учащихся, авторов контента и администратора), можно сделать вывод, что для платформы «CodePath» необходимо разработать программный продукт в виде современного, полнофункционального веб-приложения, которое будет решать следующие задачи: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создание централизованной, структурированной и масштабируемой среды для интерактивного изучения программирования. Это подразумевает реализацию иерархической системы курсов с модулями и уроками по семи языкам программирования;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обеспечение эффективной организации и долгосрочного сохранения учебного контента;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предоставление встроенной среды выполнения кода с автоматической проверкой решений и мгновенной обратной связью;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внедрение комплексной системы геймификации для поддержания мотивации учащихся, включающей очки опыта, уровни, серии обучения, достижения и глобальную таблицу лидеров.</w:t>
      </w:r>
    </w:p>
    <w:p>
      <w:r>
        <w:br w:type="page"/>
      </w:r>
    </w:p>
    <w:p>
      <w:bookmarkStart w:id="7" w:name="bm_r2"/>
      <w:pPr>
        <w:spacing w:before="240" w:after="120"/>
        <w:jc w:val="center"/>
      </w:pPr>
      <w:r>
        <w:rPr>
          <w:rFonts w:ascii="Times New Roman" w:hAnsi="Times New Roman"/>
          <w:b/>
          <w:sz w:val="28"/>
        </w:rPr>
        <w:t>Раздел 2. Технология разработки программного продукта заказчика</w:t>
      </w:r>
      <w:bookmarkEnd w:id="7"/>
    </w:p>
    <w:p>
      <w:bookmarkStart w:id="8" w:name="bm_21"/>
      <w:pPr>
        <w:spacing w:before="240" w:after="120"/>
        <w:jc w:val="center"/>
      </w:pPr>
      <w:r>
        <w:rPr>
          <w:rFonts w:ascii="Times New Roman" w:hAnsi="Times New Roman"/>
          <w:b/>
          <w:sz w:val="28"/>
        </w:rPr>
        <w:t>2.1. Описание разработки программного изделия</w:t>
      </w:r>
      <w:bookmarkEnd w:id="8"/>
    </w:p>
    <w:p>
      <w:pPr>
        <w:ind w:firstLine="709"/>
        <w:jc w:val="both"/>
      </w:pPr>
      <w:r>
        <w:rPr>
          <w:rFonts w:ascii="Times New Roman" w:hAnsi="Times New Roman"/>
          <w:sz w:val="28"/>
        </w:rPr>
        <w:t>Разработка программного продукта «CodePath» выполнялась как создание современного интерактивного веб-приложения для изучения программирования, где пользователь получает единое пространство для обучения: прохождение структурированных курсов, выполнение практических заданий, отслеживание прогресса и участие в системе геймификации. С точки зрения предметной области проект относится к образовательным IT-платформам (EdTech), в которых ключевую роль играют качественный учебный контент, интерактивность и мотивация пользователей.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При проектировании была принята клиент-серверная модель: клиентская часть отвечает за страницы и пользовательские сценарии (каталог курсов, прохождение уроков, профиль, таблица лидеров, достижения), а серверная — за API-методы, которые обрабатывают запросы, выполняют проверки, работают с базой данных, выполняют код пользователя и возвращают данные в удобном для интерфейса виде. Для хранения данных используется реляционная БД PostgreSQL, а доступ к данным реализован через Drizzle ORM.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В ходе разработки система была разделена на логические модули: модуль аутентификации и сессий (регистрация, вход, JWT-токены), модуль профиля и настроек, модуль курсов и уроков (каталог, запись, прохождение), модуль квизов (вопросы, варианты ответов, проверка), модуль практических заданий (редактор кода, выполнение, проверка через тест-кейсы), модуль геймификации (XP, уровни, серии, достижения, таблица лидеров), а также административный модуль (управление контентом и пользователями).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Отдельно в проект заложена система выполнения пользовательского кода через серверный модуль CodeRunner, который поддерживает запуск программ на Python и JavaScript через дочерние процессы (child_process), а также базовую проверку HTML, CSS и SQL через сопоставление с образцом.</w:t>
      </w:r>
    </w:p>
    <w:p>
      <w:bookmarkStart w:id="9" w:name="bm_22"/>
      <w:pPr>
        <w:spacing w:before="240" w:after="120"/>
        <w:jc w:val="center"/>
      </w:pPr>
      <w:r>
        <w:rPr>
          <w:rFonts w:ascii="Times New Roman" w:hAnsi="Times New Roman"/>
          <w:b/>
          <w:sz w:val="28"/>
        </w:rPr>
        <w:t>2.1.1. Требования к функциональным характеристикам</w:t>
      </w:r>
      <w:bookmarkEnd w:id="9"/>
    </w:p>
    <w:p>
      <w:pPr>
        <w:ind w:firstLine="709"/>
        <w:jc w:val="both"/>
      </w:pPr>
      <w:r>
        <w:rPr>
          <w:rFonts w:ascii="Times New Roman" w:hAnsi="Times New Roman"/>
          <w:sz w:val="28"/>
        </w:rPr>
        <w:t>Программный продукт «CodePath» должен обеспечивать полный цикл работы пользователя с образовательной платформой, начиная с создания учётной записи и заканчивая прохождением курсов и получением достижений. В части регистрации и входа система должна поддерживать локальную регистрацию по email и паролю с безопасным хранением пароля в виде хэша, а также аутентификацию через JWT-токены для обеспечения безопасности сессий.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После авторизации пользователь должен иметь возможность просматривать личный дашборд с обзором прогресса обучения, текущим уровнем, серией обучения и последними активностями. Каталог курсов должен отображать все доступные курсы с информацией о языке программирования, уровне сложности, количестве уроков, расчётном времени прохождения и награде в XP.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Контентный функционал должен обеспечивать три типа уроков: теоретические уроки с текстовым содержимым в формате Markdown, квизы с множественным выбором, объяснениями ответов и начислением XP за правильные ответы, а также практические задания с встроенным редактором кода (Monaco Editor), автоматической проверкой через тест-кейсы и подсказками.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Система геймификации должна обеспечивать начисление очков опыта (XP) за выполненные уроки, автоматический расчёт уровня пользователя, отслеживание серий ежедневного обучения (streak), присвоение достижений при выполнении определённых условий и глобальную таблицу лидеров с ранжированием по XP.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Административный функционал должен обеспечивать создание и управление курсами, модулями, уроками, вопросами квизов, вариантами ответов, практическими заданиями и тест-кейсами через защищённую административную панель.</w:t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28"/>
        </w:rPr>
        <w:t>2.1.2. Требования к надёжности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Надёжность программного продукта CodePath должна обеспечиваться за счёт предсказуемой обработки ошибок, строгой проверки входных данных и устойчивости к сбоям. На уровне серверной логики все запросы должны проходить валидацию с возвратом статусов 400/401/404 и защитной обработкой исключений.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Постоянные данные должны храниться в СУБД PostgreSQL, а доступ к ним выполняться через слой ORM. Модуль выполнения пользовательского кода должен быть изолирован от основного серверного процесса, иметь ограничение по времени выполнения (таймаут) и фильтрацию потенциально опасных конструкций.</w:t>
      </w:r>
    </w:p>
    <w:p>
      <w:bookmarkStart w:id="10" w:name="bm_221"/>
      <w:pPr>
        <w:spacing w:before="240" w:after="120"/>
        <w:jc w:val="center"/>
      </w:pPr>
      <w:r>
        <w:rPr>
          <w:rFonts w:ascii="Times New Roman" w:hAnsi="Times New Roman"/>
          <w:b/>
          <w:sz w:val="28"/>
        </w:rPr>
        <w:t>2.2.1. Выбор среды программирования</w:t>
      </w:r>
      <w:bookmarkEnd w:id="10"/>
    </w:p>
    <w:p>
      <w:pPr>
        <w:ind w:firstLine="709"/>
        <w:jc w:val="both"/>
      </w:pPr>
      <w:r>
        <w:rPr>
          <w:rFonts w:ascii="Times New Roman" w:hAnsi="Times New Roman"/>
          <w:sz w:val="28"/>
        </w:rPr>
        <w:t>Для реализации клиентской части веб-приложения «CodePath» был выбран фреймворк React в связке со сборщиком Vite. React является одной из наиболее популярных и зрелых библиотек для построения пользовательских интерфейсов. Vite используется как инструмент сборки, обеспечивающий мгновенную горячую перезагрузку модулей (HMR) и оптимизированную сборку для производственной среды.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Для стилизации интерфейса применяется Tailwind CSS. В качестве библиотеки UI-компонентов используются примитивы Radix UI, а также Framer Motion для создания плавных анимаций.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Для встроенного редактора кода используется Monaco Editor (тот же редактор, что лежит в основе VS Code), который обеспечивает подсветку синтаксиса, автодополнение и удобное редактирование кода для всех поддерживаемых языков программирования.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Управление состоянием и взаимодействие с серверным API реализовано через TanStack React Query. Маршрутизация реализована через легковесную библиотеку Wouter.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На серверной стороне используется Express (версия 5) — минималистичный и гибкий веб-фреймворк для Node.js. Весь серверный код написан на TypeScript.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Для аутентификации используется система JWT-токенов (JSON Web Tokens). В качестве СУБД выбрана PostgreSQL, а доступ к данным реализован через Drizzle ORM.</w:t>
      </w:r>
    </w:p>
    <w:p>
      <w:bookmarkStart w:id="11" w:name="bm_222"/>
      <w:pPr>
        <w:spacing w:before="240" w:after="120"/>
        <w:jc w:val="center"/>
      </w:pPr>
      <w:r>
        <w:rPr>
          <w:rFonts w:ascii="Times New Roman" w:hAnsi="Times New Roman"/>
          <w:b/>
          <w:sz w:val="28"/>
        </w:rPr>
        <w:t>2.2.2. Структура информационной системы проекта</w:t>
      </w:r>
      <w:bookmarkEnd w:id="11"/>
    </w:p>
    <w:p>
      <w:pPr>
        <w:ind w:firstLine="709"/>
        <w:jc w:val="both"/>
      </w:pPr>
      <w:r>
        <w:rPr>
          <w:rFonts w:ascii="Times New Roman" w:hAnsi="Times New Roman"/>
          <w:sz w:val="28"/>
        </w:rPr>
        <w:t>Информационная система веб-приложения «CodePath» построена по типовой схеме веб-сервиса и включает пользовательскую часть, серверную часть и слой данных.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Слой данных представлен реляционной базой PostgreSQL. В структуре предусмотрена таблица пользователей (users), курсов (courses), модулей (modules), уроков (lessons), вопросов квизов (quiz_questions), вариантов ответов (quiz_options), практических заданий (coding_challenges), тест-кейсов (test_cases), XP (user_xp), серий обучения (user_streaks), достижений (achievements), полученных достижений (user_achievements), прогресса (user_lesson_progress) и записей на курсы (user_course_enrollments).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Серверная часть логически разделена по функциональным направлениям в отдельных Express-роутерах. Отдельным элементом структуры является модуль выполнения пользовательского кода (CodeRunner).</w:t>
      </w:r>
    </w:p>
    <w:p>
      <w:r>
        <w:br w:type="page"/>
      </w:r>
    </w:p>
    <w:p>
      <w:bookmarkStart w:id="12" w:name="bm_r3"/>
      <w:pPr>
        <w:spacing w:before="240" w:after="120"/>
        <w:jc w:val="center"/>
      </w:pPr>
      <w:r>
        <w:rPr>
          <w:rFonts w:ascii="Times New Roman" w:hAnsi="Times New Roman"/>
          <w:b/>
          <w:sz w:val="28"/>
        </w:rPr>
        <w:t>Раздел 3. Организация работ по внедрению программного продукта</w:t>
      </w:r>
      <w:bookmarkEnd w:id="12"/>
    </w:p>
    <w:p>
      <w:bookmarkStart w:id="13" w:name="bm_31"/>
      <w:pPr>
        <w:spacing w:before="240" w:after="120"/>
        <w:jc w:val="center"/>
      </w:pPr>
      <w:r>
        <w:rPr>
          <w:rFonts w:ascii="Times New Roman" w:hAnsi="Times New Roman"/>
          <w:b/>
          <w:sz w:val="28"/>
        </w:rPr>
        <w:t>3.1. Установка и настройка компонентов программного продукта</w:t>
      </w:r>
      <w:bookmarkEnd w:id="13"/>
    </w:p>
    <w:p>
      <w:r>
        <w:rPr>
          <w:rFonts w:ascii="Times New Roman" w:hAnsi="Times New Roman"/>
          <w:sz w:val="28"/>
        </w:rPr>
      </w:r>
    </w:p>
    <w:p>
      <w:bookmarkStart w:id="14" w:name="bm_32"/>
      <w:pPr>
        <w:spacing w:before="240" w:after="120"/>
        <w:jc w:val="center"/>
      </w:pPr>
      <w:r>
        <w:rPr>
          <w:rFonts w:ascii="Times New Roman" w:hAnsi="Times New Roman"/>
          <w:b/>
          <w:sz w:val="28"/>
        </w:rPr>
        <w:t>3.2. Тестирование компонентов программного продукта</w:t>
      </w:r>
      <w:bookmarkEnd w:id="14"/>
    </w:p>
    <w:p>
      <w:r>
        <w:rPr>
          <w:rFonts w:ascii="Times New Roman" w:hAnsi="Times New Roman"/>
          <w:sz w:val="28"/>
        </w:rPr>
      </w:r>
    </w:p>
    <w:p>
      <w:bookmarkStart w:id="15" w:name="bm_33"/>
      <w:pPr>
        <w:spacing w:before="240" w:after="120"/>
        <w:jc w:val="center"/>
      </w:pPr>
      <w:r>
        <w:rPr>
          <w:rFonts w:ascii="Times New Roman" w:hAnsi="Times New Roman"/>
          <w:b/>
          <w:sz w:val="28"/>
        </w:rPr>
        <w:t>3.3. Расчет технико-экономических показателей</w:t>
      </w:r>
      <w:bookmarkEnd w:id="15"/>
    </w:p>
    <w:p>
      <w:pPr>
        <w:ind w:firstLine="709"/>
        <w:jc w:val="both"/>
      </w:pPr>
      <w:r>
        <w:rPr>
          <w:rFonts w:ascii="Times New Roman" w:hAnsi="Times New Roman"/>
          <w:sz w:val="28"/>
        </w:rPr>
        <w:t>Целью экономической части является определение затрат на разработку продукта автоматизированной системы «CodePath».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Программный продукт «CodePath» также необходим: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• для автоматизации процесса обучения программированию с интерактивной проверкой решений;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• для организации деятельности, помогающей структурированно подавать учебный материал и отслеживать прогресс учащихся.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При внедрении данного программного продукта в эксплуатацию: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• он упростит процесс самостоятельного изучения программирования, что способствует повышению эффективности обучения.</w:t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28"/>
        </w:rPr>
        <w:t>3.3.1. Технико-экономические расчёты экономической целесообразности разработки программы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В данном подразделе дипломного проекта производится расчет экономической целесообразности и эффективности разрабатываемого продукта Интернет-сайта «CodePath».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Целью данного подраздела является расчет: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себестоимости проекта,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экономической эффективности проекта.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Для подсчета себестоимости проекта нужны следующие составляющие: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заработная плата разработчика;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программное обеспечение и лицензии;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хостинг и доменное имя;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тестирование и поддержка;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реклама и продвижение сайта;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затраты на энергоресурсы;</w:t>
      </w:r>
    </w:p>
    <w:p>
      <w:pPr>
        <w:ind w:left="709" w:firstLine="0"/>
        <w:jc w:val="both"/>
      </w:pPr>
      <w:r>
        <w:rPr>
          <w:rFonts w:ascii="Times New Roman" w:hAnsi="Times New Roman"/>
          <w:sz w:val="28"/>
        </w:rPr>
        <w:t>– амортизационные отчисления.</w:t>
      </w:r>
    </w:p>
    <w:p>
      <w:pPr>
        <w:jc w:val="center"/>
      </w:pPr>
      <w:r>
        <w:rPr>
          <w:rFonts w:ascii="Times New Roman" w:hAnsi="Times New Roman"/>
          <w:b/>
          <w:sz w:val="28"/>
        </w:rPr>
        <w:t>Таблица 1. Исходные данные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4"/>
              </w:rPr>
              <w:t>Показатели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Ед. изм.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Страховые взносы (от ЗП), в т.ч.: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%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30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- отчисления в ПФ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%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22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- отчисления в ФСС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%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2,9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- отчисления в ФФОМС и ТФОМС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%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5,1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ЗП специалиста (разработчик)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руб./мес.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100 000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Премия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%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40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ЗП специалиста (администратор)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руб./мес.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70 000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Премия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%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20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Фонд рабочего времени в 2026 г.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дней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247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при 40-часовой рабочей неделе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часов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1972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Стоимость компьютера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Руб.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100 000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Срок полезного использования ПК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лет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Затраты на ремонт ПК (от стоимости) в год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%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Затраты на материалы для ПК в год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%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Потребляемая мощность ПК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кВт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0,45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Тариф на электроэнергию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Руб./кВт-ч.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7,87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Затраты на хостинг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руб.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3 000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Затраты на лицензии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руб.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500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Рекламные расходы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руб.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10 000</w:t>
            </w:r>
          </w:p>
        </w:tc>
      </w:tr>
    </w:tbl>
    <w:p>
      <w:r>
        <w:rPr>
          <w:rFonts w:ascii="Times New Roman" w:hAnsi="Times New Roman"/>
          <w:sz w:val="28"/>
        </w:rPr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28"/>
        </w:rPr>
        <w:t>3.3.2. Расчет затрат на разработку программного продукта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Среднечасовая оплата труда рассчитывается по формуле (1):</w:t>
      </w:r>
    </w:p>
    <w:p>
      <w:pPr>
        <w:jc w:val="right"/>
      </w:pPr>
      <w:r>
        <w:rPr>
          <w:rFonts w:ascii="Times New Roman" w:hAnsi="Times New Roman"/>
          <w:sz w:val="28"/>
        </w:rPr>
        <w:t>ЗПср.час. = О * Кп * 12 / Фрв                    (1)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где О - оклад специалиста по штатному расписанию,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 xml:space="preserve">    Кп – процент премии; Фрв – фонд рабочего времени в год.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ЗПср.час. = 100 000 * 1.4 * 12/1972 = 851,93 руб./час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Для администратора: ЗПср.час. = 70 000 *1,2 * 12 / 1972 = 511,16 руб./час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Определение затрат на оплату труда производится по формуле (2):</w:t>
      </w:r>
    </w:p>
    <w:p>
      <w:pPr>
        <w:jc w:val="right"/>
      </w:pPr>
      <w:r>
        <w:rPr>
          <w:rFonts w:ascii="Times New Roman" w:hAnsi="Times New Roman"/>
          <w:sz w:val="28"/>
        </w:rPr>
        <w:t>ЗП = ЗПср.час. * Тпр.                              (2)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ЗП = 851,93 * 240 = 204462,47 руб.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Для администратора: ЗП = 511,16 × 140 = 71561,87 руб.</w:t>
      </w:r>
    </w:p>
    <w:p>
      <w:pPr>
        <w:spacing w:before="240" w:after="120"/>
        <w:jc w:val="center"/>
      </w:pPr>
      <w:r>
        <w:rPr>
          <w:rFonts w:ascii="Times New Roman" w:hAnsi="Times New Roman"/>
          <w:b w:val="0"/>
          <w:sz w:val="28"/>
        </w:rPr>
        <w:t>Определение страховых взносов</w:t>
      </w:r>
    </w:p>
    <w:p>
      <w:pPr>
        <w:jc w:val="right"/>
      </w:pPr>
      <w:r>
        <w:rPr>
          <w:rFonts w:ascii="Times New Roman" w:hAnsi="Times New Roman"/>
          <w:sz w:val="28"/>
        </w:rPr>
        <w:t>СтрВзн = ЗП * Страх взносы                        (3)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СтрВзн = (204462,47+71561,87) * 0,3 = 82807,30 руб.</w:t>
      </w:r>
    </w:p>
    <w:p>
      <w:pPr>
        <w:spacing w:before="240" w:after="120"/>
        <w:jc w:val="center"/>
      </w:pPr>
      <w:r>
        <w:rPr>
          <w:rFonts w:ascii="Times New Roman" w:hAnsi="Times New Roman"/>
          <w:b w:val="0"/>
          <w:sz w:val="28"/>
        </w:rPr>
        <w:t>Амортизационные отчисления</w:t>
      </w:r>
    </w:p>
    <w:p>
      <w:pPr>
        <w:jc w:val="right"/>
      </w:pPr>
      <w:r>
        <w:rPr>
          <w:rFonts w:ascii="Times New Roman" w:hAnsi="Times New Roman"/>
          <w:sz w:val="28"/>
        </w:rPr>
        <w:t>АО = Сп * На * Тмаш / Фрв                        (4)</w:t>
      </w:r>
    </w:p>
    <w:p>
      <w:pPr>
        <w:jc w:val="right"/>
      </w:pPr>
      <w:r>
        <w:rPr>
          <w:rFonts w:ascii="Times New Roman" w:hAnsi="Times New Roman"/>
          <w:sz w:val="28"/>
        </w:rPr>
        <w:t>На = 1 / СПИ * 100%                               (5)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На = 1/5*100 = 20%; АО = 100000*0,2*380/1972 = 3853,96 руб.</w:t>
      </w:r>
    </w:p>
    <w:p>
      <w:pPr>
        <w:spacing w:before="240" w:after="120"/>
        <w:jc w:val="center"/>
      </w:pPr>
      <w:r>
        <w:rPr>
          <w:rFonts w:ascii="Times New Roman" w:hAnsi="Times New Roman"/>
          <w:b w:val="0"/>
          <w:sz w:val="28"/>
        </w:rPr>
        <w:t>Затраты на ремонт</w:t>
      </w:r>
    </w:p>
    <w:p>
      <w:pPr>
        <w:jc w:val="right"/>
      </w:pPr>
      <w:r>
        <w:rPr>
          <w:rFonts w:ascii="Times New Roman" w:hAnsi="Times New Roman"/>
          <w:sz w:val="28"/>
        </w:rPr>
        <w:t>Зпр.р. = Сп * 0,06 * Тмаш / Фрв                  (6)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Зпр.р. = 100000*0,06*380/1972 = 1156,19 руб.</w:t>
      </w:r>
    </w:p>
    <w:p>
      <w:pPr>
        <w:spacing w:before="240" w:after="120"/>
        <w:jc w:val="center"/>
      </w:pPr>
      <w:r>
        <w:rPr>
          <w:rFonts w:ascii="Times New Roman" w:hAnsi="Times New Roman"/>
          <w:b w:val="0"/>
          <w:sz w:val="28"/>
        </w:rPr>
        <w:t>Затраты на материалы</w:t>
      </w:r>
    </w:p>
    <w:p>
      <w:pPr>
        <w:jc w:val="right"/>
      </w:pPr>
      <w:r>
        <w:rPr>
          <w:rFonts w:ascii="Times New Roman" w:hAnsi="Times New Roman"/>
          <w:sz w:val="28"/>
        </w:rPr>
        <w:t>Зматер. = Сп * 0,02 * Тмаш / Фрв                  (7)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Зматер. = 100000*0,02*380/1972 = 385,40 руб.</w:t>
      </w:r>
    </w:p>
    <w:p>
      <w:pPr>
        <w:spacing w:before="240" w:after="120"/>
        <w:jc w:val="center"/>
      </w:pPr>
      <w:r>
        <w:rPr>
          <w:rFonts w:ascii="Times New Roman" w:hAnsi="Times New Roman"/>
          <w:b w:val="0"/>
          <w:sz w:val="28"/>
        </w:rPr>
        <w:t>Затраты на электроэнергию</w:t>
      </w:r>
    </w:p>
    <w:p>
      <w:pPr>
        <w:jc w:val="right"/>
      </w:pPr>
      <w:r>
        <w:rPr>
          <w:rFonts w:ascii="Times New Roman" w:hAnsi="Times New Roman"/>
          <w:sz w:val="28"/>
        </w:rPr>
        <w:t>Зэл. = W * Сэл. * Тмаш                            (8)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Зэл. = 0,45*7,87*380 = 1345,77 руб.</w:t>
      </w:r>
    </w:p>
    <w:p>
      <w:pPr>
        <w:jc w:val="center"/>
      </w:pPr>
      <w:r>
        <w:rPr>
          <w:rFonts w:ascii="Times New Roman" w:hAnsi="Times New Roman"/>
          <w:b/>
          <w:sz w:val="28"/>
        </w:rPr>
        <w:t>Таблица 2 – Расчет себестоимости программного продукта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4"/>
              </w:rPr>
              <w:t>Наименование статей калькуляции</w:t>
            </w:r>
          </w:p>
        </w:tc>
        <w:tc>
          <w:tcPr>
            <w:tcW w:type="dxa" w:w="4677"/>
          </w:tcPr>
          <w:p>
            <w:pPr>
              <w:jc w:val="right"/>
            </w:pPr>
            <w:r>
              <w:rPr>
                <w:rFonts w:ascii="Times New Roman" w:hAnsi="Times New Roman"/>
                <w:b/>
                <w:sz w:val="24"/>
              </w:rPr>
              <w:t>Сумма руб.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Стоимость электроэнергии</w:t>
            </w:r>
          </w:p>
        </w:tc>
        <w:tc>
          <w:tcPr>
            <w:tcW w:type="dxa" w:w="4677"/>
          </w:tcPr>
          <w:p>
            <w:pPr>
              <w:jc w:val="right"/>
            </w:pPr>
            <w:r>
              <w:rPr>
                <w:rFonts w:ascii="Times New Roman" w:hAnsi="Times New Roman"/>
                <w:sz w:val="24"/>
              </w:rPr>
              <w:t>1 345,77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Стоимость амортизационных отчислений</w:t>
            </w:r>
          </w:p>
        </w:tc>
        <w:tc>
          <w:tcPr>
            <w:tcW w:type="dxa" w:w="4677"/>
          </w:tcPr>
          <w:p>
            <w:pPr>
              <w:jc w:val="right"/>
            </w:pPr>
            <w:r>
              <w:rPr>
                <w:rFonts w:ascii="Times New Roman" w:hAnsi="Times New Roman"/>
                <w:sz w:val="24"/>
              </w:rPr>
              <w:t>3 853,96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Стоимость текущего ремонта оборудования</w:t>
            </w:r>
          </w:p>
        </w:tc>
        <w:tc>
          <w:tcPr>
            <w:tcW w:type="dxa" w:w="4677"/>
          </w:tcPr>
          <w:p>
            <w:pPr>
              <w:jc w:val="right"/>
            </w:pPr>
            <w:r>
              <w:rPr>
                <w:rFonts w:ascii="Times New Roman" w:hAnsi="Times New Roman"/>
                <w:sz w:val="24"/>
              </w:rPr>
              <w:t>1 156,19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Стоимость материальных затрат</w:t>
            </w:r>
          </w:p>
        </w:tc>
        <w:tc>
          <w:tcPr>
            <w:tcW w:type="dxa" w:w="4677"/>
          </w:tcPr>
          <w:p>
            <w:pPr>
              <w:jc w:val="right"/>
            </w:pPr>
            <w:r>
              <w:rPr>
                <w:rFonts w:ascii="Times New Roman" w:hAnsi="Times New Roman"/>
                <w:sz w:val="24"/>
              </w:rPr>
              <w:t>385,40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Затраты на оплату труда разработчика</w:t>
            </w:r>
          </w:p>
        </w:tc>
        <w:tc>
          <w:tcPr>
            <w:tcW w:type="dxa" w:w="4677"/>
          </w:tcPr>
          <w:p>
            <w:pPr>
              <w:jc w:val="right"/>
            </w:pPr>
            <w:r>
              <w:rPr>
                <w:rFonts w:ascii="Times New Roman" w:hAnsi="Times New Roman"/>
                <w:sz w:val="24"/>
              </w:rPr>
              <w:t>204 462,47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Затраты на оплату труда администратора</w:t>
            </w:r>
          </w:p>
        </w:tc>
        <w:tc>
          <w:tcPr>
            <w:tcW w:type="dxa" w:w="4677"/>
          </w:tcPr>
          <w:p>
            <w:pPr>
              <w:jc w:val="right"/>
            </w:pPr>
            <w:r>
              <w:rPr>
                <w:rFonts w:ascii="Times New Roman" w:hAnsi="Times New Roman"/>
                <w:sz w:val="24"/>
              </w:rPr>
              <w:t>71 561,87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Отчисления в ФСО</w:t>
            </w:r>
          </w:p>
        </w:tc>
        <w:tc>
          <w:tcPr>
            <w:tcW w:type="dxa" w:w="4677"/>
          </w:tcPr>
          <w:p>
            <w:pPr>
              <w:jc w:val="right"/>
            </w:pPr>
            <w:r>
              <w:rPr>
                <w:rFonts w:ascii="Times New Roman" w:hAnsi="Times New Roman"/>
                <w:sz w:val="24"/>
              </w:rPr>
              <w:t>82 807,30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Затраты на хостинг</w:t>
            </w:r>
          </w:p>
        </w:tc>
        <w:tc>
          <w:tcPr>
            <w:tcW w:type="dxa" w:w="4677"/>
          </w:tcPr>
          <w:p>
            <w:pPr>
              <w:jc w:val="right"/>
            </w:pPr>
            <w:r>
              <w:rPr>
                <w:rFonts w:ascii="Times New Roman" w:hAnsi="Times New Roman"/>
                <w:sz w:val="24"/>
              </w:rPr>
              <w:t>3 000,00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Затраты на лицензии</w:t>
            </w:r>
          </w:p>
        </w:tc>
        <w:tc>
          <w:tcPr>
            <w:tcW w:type="dxa" w:w="4677"/>
          </w:tcPr>
          <w:p>
            <w:pPr>
              <w:jc w:val="right"/>
            </w:pPr>
            <w:r>
              <w:rPr>
                <w:rFonts w:ascii="Times New Roman" w:hAnsi="Times New Roman"/>
                <w:sz w:val="24"/>
              </w:rPr>
              <w:t>500,00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Затраты на рекламу и продвижение</w:t>
            </w:r>
          </w:p>
        </w:tc>
        <w:tc>
          <w:tcPr>
            <w:tcW w:type="dxa" w:w="4677"/>
          </w:tcPr>
          <w:p>
            <w:pPr>
              <w:jc w:val="right"/>
            </w:pPr>
            <w:r>
              <w:rPr>
                <w:rFonts w:ascii="Times New Roman" w:hAnsi="Times New Roman"/>
                <w:sz w:val="24"/>
              </w:rPr>
              <w:t>10 000,00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 полная себестоимость</w:t>
            </w:r>
          </w:p>
        </w:tc>
        <w:tc>
          <w:tcPr>
            <w:tcW w:type="dxa" w:w="4677"/>
          </w:tcPr>
          <w:p>
            <w:pPr>
              <w:jc w:val="right"/>
            </w:pPr>
            <w:r>
              <w:rPr>
                <w:rFonts w:ascii="Times New Roman" w:hAnsi="Times New Roman"/>
                <w:b/>
                <w:sz w:val="24"/>
              </w:rPr>
              <w:t>379 072,96</w:t>
            </w:r>
          </w:p>
        </w:tc>
      </w:tr>
    </w:tbl>
    <w:p>
      <w:r>
        <w:rPr>
          <w:rFonts w:ascii="Times New Roman" w:hAnsi="Times New Roman"/>
          <w:sz w:val="28"/>
        </w:rPr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[pic]</w:t>
      </w:r>
    </w:p>
    <w:p>
      <w:pPr>
        <w:jc w:val="center"/>
      </w:pPr>
      <w:r>
        <w:rPr>
          <w:rFonts w:ascii="Times New Roman" w:hAnsi="Times New Roman"/>
          <w:i/>
          <w:sz w:val="24"/>
        </w:rPr>
        <w:t>Рисунок 3 – Статьи расхода предприятия</w:t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28"/>
        </w:rPr>
        <w:t>3.3.2. Сводные экономические показатели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Для расчета экономического эффекта по формуле (9):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Q1 – фактическое количество обучающихся; Q2 - предполагаемый рост, %; A – средний доход; E – дополнительные обучающиеся.</w:t>
      </w:r>
    </w:p>
    <w:p>
      <w:pPr>
        <w:jc w:val="right"/>
      </w:pPr>
      <w:r>
        <w:rPr>
          <w:rFonts w:ascii="Times New Roman" w:hAnsi="Times New Roman"/>
          <w:sz w:val="28"/>
        </w:rPr>
        <w:t>Е = Q1*Q2                                          (9)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Е=</w:t>
      </w:r>
    </w:p>
    <w:p>
      <w:pPr>
        <w:jc w:val="right"/>
      </w:pPr>
      <w:r>
        <w:rPr>
          <w:rFonts w:ascii="Times New Roman" w:hAnsi="Times New Roman"/>
          <w:sz w:val="28"/>
        </w:rPr>
        <w:t>AI = E*A                                          (10)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AI =</w:t>
      </w:r>
    </w:p>
    <w:p>
      <w:pPr>
        <w:jc w:val="right"/>
      </w:pPr>
      <w:r>
        <w:rPr>
          <w:rFonts w:ascii="Times New Roman" w:hAnsi="Times New Roman"/>
          <w:sz w:val="28"/>
        </w:rPr>
        <w:t>Ток = Зитог / AI                                  (11)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Ток =</w:t>
      </w:r>
    </w:p>
    <w:p>
      <w:r>
        <w:br w:type="page"/>
      </w:r>
    </w:p>
    <w:p>
      <w:bookmarkStart w:id="16" w:name="bm_conclusion"/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Заключение</w:t>
      </w:r>
      <w:bookmarkEnd w:id="16"/>
    </w:p>
    <w:p>
      <w:pPr>
        <w:ind w:firstLine="709"/>
        <w:jc w:val="both"/>
      </w:pPr>
      <w:r>
        <w:rPr>
          <w:rFonts w:ascii="Times New Roman" w:hAnsi="Times New Roman"/>
          <w:sz w:val="28"/>
        </w:rPr>
        <w:t>В результате разработку и внедрение данного программного продукта следует считать целесообразным и обоснованным с экономической точки зрения.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Учитывая полезность и эффективность данного программного продукта, можно сказать, что образовательная платформа «CodePath», внедрённая в эксплуатацию, обеспечит более весомые результаты при решении поставленных задач обучения программированию, что повлечет за собой экономию времени и затрат труда. Расчеты показали, что стоимость программного продукта составила ХХХ руб., срок окупаемости ХХХ.</w:t>
      </w:r>
    </w:p>
    <w:p>
      <w:r>
        <w:br w:type="page"/>
      </w:r>
    </w:p>
    <w:p>
      <w:bookmarkStart w:id="17" w:name="bm_lit"/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Список используемой литературы</w:t>
      </w:r>
      <w:bookmarkEnd w:id="17"/>
    </w:p>
    <w:p>
      <w:pPr>
        <w:ind w:left="567"/>
      </w:pPr>
      <w:r>
        <w:rPr>
          <w:rFonts w:ascii="Times New Roman" w:hAnsi="Times New Roman"/>
          <w:sz w:val="28"/>
        </w:rPr>
        <w:t>1. ГОСТ 19.102-77 ЕСПД. Стадии разработки.</w:t>
      </w:r>
    </w:p>
    <w:p>
      <w:pPr>
        <w:ind w:left="567"/>
      </w:pPr>
      <w:r>
        <w:rPr>
          <w:rFonts w:ascii="Times New Roman" w:hAnsi="Times New Roman"/>
          <w:sz w:val="28"/>
        </w:rPr>
        <w:t>2. ГОСТ 19.105-78 ЕСПД. Общие требования к программным документам.</w:t>
      </w:r>
    </w:p>
    <w:p>
      <w:pPr>
        <w:ind w:left="567"/>
      </w:pPr>
      <w:r>
        <w:rPr>
          <w:rFonts w:ascii="Times New Roman" w:hAnsi="Times New Roman"/>
          <w:sz w:val="28"/>
        </w:rPr>
        <w:t>3. ГОСТ 19.106-79. Единая система программной документации.</w:t>
      </w:r>
    </w:p>
    <w:p>
      <w:pPr>
        <w:ind w:left="567"/>
      </w:pPr>
      <w:r>
        <w:rPr>
          <w:rFonts w:ascii="Times New Roman" w:hAnsi="Times New Roman"/>
          <w:sz w:val="28"/>
        </w:rPr>
        <w:t>4. ГОСТ 19.201-78 ЕСПД. Техническое задание. Требования к содержанию и оформлению.</w:t>
      </w:r>
    </w:p>
    <w:p>
      <w:pPr>
        <w:ind w:left="567"/>
      </w:pPr>
      <w:r>
        <w:rPr>
          <w:rFonts w:ascii="Times New Roman" w:hAnsi="Times New Roman"/>
          <w:sz w:val="28"/>
        </w:rPr>
        <w:t>5. ГОСТ 19.701-90 ЕСПД. Схемы алгоритмов, программ, данных и систем.</w:t>
      </w:r>
    </w:p>
    <w:p>
      <w:pPr>
        <w:ind w:left="567"/>
      </w:pPr>
      <w:r>
        <w:rPr>
          <w:rFonts w:ascii="Times New Roman" w:hAnsi="Times New Roman"/>
          <w:sz w:val="28"/>
        </w:rPr>
        <w:t>6. Руководство пользователя РД 50-34.698-90.</w:t>
      </w:r>
    </w:p>
    <w:p>
      <w:pPr>
        <w:ind w:left="567"/>
      </w:pPr>
      <w:r>
        <w:rPr>
          <w:rFonts w:ascii="Times New Roman" w:hAnsi="Times New Roman"/>
          <w:sz w:val="28"/>
        </w:rPr>
        <w:t>7. Коваль Т.Б. Методические рекомендации выполнения и защиты дипломного проекта – г. Москва: МГОК, 2025. – 25 с.</w:t>
      </w:r>
    </w:p>
    <w:p>
      <w:pPr>
        <w:ind w:left="567"/>
      </w:pPr>
      <w:r>
        <w:rPr>
          <w:rFonts w:ascii="Times New Roman" w:hAnsi="Times New Roman"/>
          <w:sz w:val="28"/>
        </w:rPr>
        <w:t>8. React – The library for web and native user interfaces [Электронный ресурс]. – https://react.dev/</w:t>
      </w:r>
    </w:p>
    <w:p>
      <w:pPr>
        <w:ind w:left="567"/>
      </w:pPr>
      <w:r>
        <w:rPr>
          <w:rFonts w:ascii="Times New Roman" w:hAnsi="Times New Roman"/>
          <w:sz w:val="28"/>
        </w:rPr>
        <w:t>9. Vite – Next Generation Frontend Tooling [Электронный ресурс]. – https://vitejs.dev/</w:t>
      </w:r>
    </w:p>
    <w:p>
      <w:pPr>
        <w:ind w:left="567"/>
      </w:pPr>
      <w:r>
        <w:rPr>
          <w:rFonts w:ascii="Times New Roman" w:hAnsi="Times New Roman"/>
          <w:sz w:val="28"/>
        </w:rPr>
        <w:t>10. Tailwind CSS – A utility-first CSS framework [Электронный ресурс]. – https://tailwindcss.com/</w:t>
      </w:r>
    </w:p>
    <w:p>
      <w:pPr>
        <w:ind w:left="567"/>
      </w:pPr>
      <w:r>
        <w:rPr>
          <w:rFonts w:ascii="Times New Roman" w:hAnsi="Times New Roman"/>
          <w:sz w:val="28"/>
        </w:rPr>
        <w:t>11. Express – web framework for Node.js [Электронный ресурс]. – https://expressjs.com/</w:t>
      </w:r>
    </w:p>
    <w:p>
      <w:pPr>
        <w:ind w:left="567"/>
      </w:pPr>
      <w:r>
        <w:rPr>
          <w:rFonts w:ascii="Times New Roman" w:hAnsi="Times New Roman"/>
          <w:sz w:val="28"/>
        </w:rPr>
        <w:t>12. PostgreSQL – Open Source Relational Database [Электронный ресурс]. – https://www.postgresql.org/</w:t>
      </w:r>
    </w:p>
    <w:p>
      <w:pPr>
        <w:ind w:left="567"/>
      </w:pPr>
      <w:r>
        <w:rPr>
          <w:rFonts w:ascii="Times New Roman" w:hAnsi="Times New Roman"/>
          <w:sz w:val="28"/>
        </w:rPr>
        <w:t>13. Drizzle ORM – TypeScript ORM [Электронный ресурс]. – https://orm.drizzle.team/</w:t>
      </w:r>
    </w:p>
    <w:p>
      <w:pPr>
        <w:ind w:left="567"/>
      </w:pPr>
      <w:r>
        <w:rPr>
          <w:rFonts w:ascii="Times New Roman" w:hAnsi="Times New Roman"/>
          <w:sz w:val="28"/>
        </w:rPr>
        <w:t>14. Monaco Editor – The Code Editor that Powers VS Code [Электронный ресурс]. – https://microsoft.github.io/monaco-editor/</w:t>
      </w:r>
    </w:p>
    <w:p>
      <w:pPr>
        <w:ind w:left="567"/>
      </w:pPr>
      <w:r>
        <w:rPr>
          <w:rFonts w:ascii="Times New Roman" w:hAnsi="Times New Roman"/>
          <w:sz w:val="28"/>
        </w:rPr>
        <w:t>15. TypeScript – JavaScript with syntax for types [Электронный ресурс]. – https://www.typescriptlang.org/</w:t>
      </w:r>
    </w:p>
    <w:sectPr w:rsidR="00FC693F" w:rsidRPr="0006063C" w:rsidSect="00034616">
      <w:footerReference w:type="default" r:id="rId9"/>
      <w:pgSz w:w="11906" w:h="16838"/>
      <w:pgMar w:top="850" w:right="850" w:bottom="1984" w:left="1701" w:header="720" w:footer="720" w:gutter="0"/>
      <w:cols w:space="720"/>
      <w:docGrid w:linePitch="360"/>
      <w:pgBorders w:offsetFrom="page">
        <w:top w:val="single" w:sz="6" w:space="20" w:color="000000"/>
        <w:left w:val="single" w:sz="12" w:space="50" w:color="000000"/>
        <w:bottom w:val="single" w:sz="6" w:space="20" w:color="000000"/>
        <w:right w:val="single" w:sz="6" w:space="20" w:color="000000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4" w:space="0" w:color="000000"/>
        <w:insideV w:val="single" w:sz="4" w:space="0" w:color="000000"/>
      </w:tblBorders>
    </w:tblPr>
    <w:tblGrid>
      <w:gridCol w:w="1336"/>
      <w:gridCol w:w="1336"/>
      <w:gridCol w:w="1336"/>
      <w:gridCol w:w="1336"/>
      <w:gridCol w:w="1336"/>
      <w:gridCol w:w="1336"/>
      <w:gridCol w:w="1336"/>
    </w:tblGrid>
    <w:tr>
      <w:trPr>
        <w:trHeight w:val="340" w:hRule="exact"/>
      </w:trPr>
      <w:tc>
        <w:tcPr>
          <w:tcW w:type="dxa" w:w="567"/>
          <w:vAlign w:val="center"/>
        </w:tcPr>
        <w:p>
          <w:pPr>
            <w:jc w:val="center"/>
          </w:pPr>
          <w:r>
            <w:rPr>
              <w:rFonts w:ascii="Times New Roman" w:hAnsi="Times New Roman"/>
              <w:sz w:val="16"/>
            </w:rPr>
            <w:t>Изм.</w:t>
          </w:r>
        </w:p>
      </w:tc>
      <w:tc>
        <w:tcPr>
          <w:tcW w:type="dxa" w:w="567"/>
          <w:vAlign w:val="center"/>
        </w:tcPr>
        <w:p>
          <w:pPr>
            <w:jc w:val="center"/>
          </w:pPr>
          <w:r>
            <w:rPr>
              <w:rFonts w:ascii="Times New Roman" w:hAnsi="Times New Roman"/>
              <w:sz w:val="16"/>
            </w:rPr>
            <w:t>Лист</w:t>
          </w:r>
        </w:p>
      </w:tc>
      <w:tc>
        <w:tcPr>
          <w:tcW w:type="dxa" w:w="1020"/>
          <w:vAlign w:val="center"/>
        </w:tcPr>
        <w:p>
          <w:pPr>
            <w:jc w:val="center"/>
          </w:pPr>
          <w:r>
            <w:rPr>
              <w:rFonts w:ascii="Times New Roman" w:hAnsi="Times New Roman"/>
              <w:sz w:val="16"/>
            </w:rPr>
            <w:t>№ докум.</w:t>
          </w:r>
        </w:p>
      </w:tc>
      <w:tc>
        <w:tcPr>
          <w:tcW w:type="dxa" w:w="850"/>
          <w:vAlign w:val="center"/>
        </w:tcPr>
        <w:p>
          <w:pPr>
            <w:jc w:val="center"/>
          </w:pPr>
          <w:r>
            <w:rPr>
              <w:rFonts w:ascii="Times New Roman" w:hAnsi="Times New Roman"/>
              <w:sz w:val="16"/>
            </w:rPr>
            <w:t>Подпись</w:t>
          </w:r>
        </w:p>
      </w:tc>
      <w:tc>
        <w:tcPr>
          <w:tcW w:type="dxa" w:w="680"/>
          <w:vAlign w:val="center"/>
        </w:tcPr>
        <w:p>
          <w:pPr>
            <w:jc w:val="center"/>
          </w:pPr>
          <w:r>
            <w:rPr>
              <w:rFonts w:ascii="Times New Roman" w:hAnsi="Times New Roman"/>
              <w:sz w:val="16"/>
            </w:rPr>
            <w:t>Дата</w:t>
          </w:r>
        </w:p>
      </w:tc>
      <w:tc>
        <w:tcPr>
          <w:tcW w:type="dxa" w:w="4252"/>
          <w:vAlign w:val="center"/>
        </w:tcPr>
        <w:p>
          <w:pPr>
            <w:jc w:val="center"/>
          </w:pPr>
          <w:r>
            <w:rPr>
              <w:rFonts w:ascii="Times New Roman" w:hAnsi="Times New Roman"/>
              <w:sz w:val="16"/>
            </w:rPr>
            <w:t>09.02.07.06.001 ПЗ</w:t>
          </w:r>
        </w:p>
      </w:tc>
      <w:tc>
        <w:tcPr>
          <w:tcW w:type="dxa" w:w="1417"/>
          <w:vAlign w:val="center"/>
        </w:tcPr>
        <w:p>
          <w:pPr>
            <w:jc w:val="center"/>
          </w:pPr>
          <w:r>
            <w:rPr>
              <w:rFonts w:ascii="Times New Roman" w:hAnsi="Times New Roman"/>
              <w:sz w:val="16"/>
            </w:rPr>
            <w:t>Лист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eastAsia="Times New Roman"/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