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Times New Roman" w:hAnsi="Times New Roman"/>
          <w:b/>
          <w:sz w:val="32"/>
        </w:rPr>
        <w:t>Содержание</w:t>
      </w:r>
    </w:p>
    <w:p>
      <w:r>
        <w:rPr>
          <w:rFonts w:ascii="Times New Roman" w:hAnsi="Times New Roman"/>
          <w:sz w:val="28"/>
        </w:rPr>
        <w:t>Введение</w:t>
      </w:r>
      <w:r>
        <w:tab/>
      </w:r>
      <w:r>
        <w:rPr>
          <w:rFonts w:ascii="Times New Roman" w:hAnsi="Times New Roman"/>
          <w:sz w:val="28"/>
        </w:rPr>
        <w:t>5</w:t>
      </w:r>
    </w:p>
    <w:p>
      <w:r>
        <w:rPr>
          <w:rFonts w:ascii="Times New Roman" w:hAnsi="Times New Roman"/>
          <w:sz w:val="28"/>
        </w:rPr>
        <w:t>Раздел 1. Анализ предметной области</w:t>
      </w:r>
      <w:r>
        <w:tab/>
      </w:r>
      <w:r>
        <w:rPr>
          <w:rFonts w:ascii="Times New Roman" w:hAnsi="Times New Roman"/>
          <w:sz w:val="28"/>
        </w:rPr>
        <w:t>6</w:t>
      </w:r>
    </w:p>
    <w:p>
      <w:pPr>
        <w:ind w:left="567"/>
      </w:pPr>
      <w:r>
        <w:rPr>
          <w:rFonts w:ascii="Times New Roman" w:hAnsi="Times New Roman"/>
          <w:sz w:val="28"/>
        </w:rPr>
        <w:t>1.1. Сбор данных</w:t>
      </w:r>
      <w:r>
        <w:tab/>
      </w:r>
      <w:r>
        <w:rPr>
          <w:rFonts w:ascii="Times New Roman" w:hAnsi="Times New Roman"/>
          <w:sz w:val="28"/>
        </w:rPr>
        <w:t>6</w:t>
      </w:r>
    </w:p>
    <w:p>
      <w:pPr>
        <w:ind w:left="567"/>
      </w:pPr>
      <w:r>
        <w:rPr>
          <w:rFonts w:ascii="Times New Roman" w:hAnsi="Times New Roman"/>
          <w:sz w:val="28"/>
        </w:rPr>
        <w:t>1.2. Обоснование необходимости создания автоматизированной системы</w:t>
      </w:r>
      <w:r>
        <w:tab/>
      </w:r>
      <w:r>
        <w:rPr>
          <w:rFonts w:ascii="Times New Roman" w:hAnsi="Times New Roman"/>
          <w:sz w:val="28"/>
        </w:rPr>
        <w:t>6</w:t>
      </w:r>
    </w:p>
    <w:p>
      <w:pPr>
        <w:ind w:left="567"/>
      </w:pPr>
      <w:r>
        <w:rPr>
          <w:rFonts w:ascii="Times New Roman" w:hAnsi="Times New Roman"/>
          <w:sz w:val="28"/>
        </w:rPr>
        <w:t>1.3. Предлагаемое решение</w:t>
      </w:r>
      <w:r>
        <w:tab/>
      </w:r>
      <w:r>
        <w:rPr>
          <w:rFonts w:ascii="Times New Roman" w:hAnsi="Times New Roman"/>
          <w:sz w:val="28"/>
        </w:rPr>
        <w:t>6</w:t>
      </w:r>
    </w:p>
    <w:p>
      <w:r>
        <w:rPr>
          <w:rFonts w:ascii="Times New Roman" w:hAnsi="Times New Roman"/>
          <w:sz w:val="28"/>
        </w:rPr>
        <w:t>Раздел 2. Технология разработки программного продукта заказчика</w:t>
      </w:r>
      <w:r>
        <w:tab/>
      </w:r>
      <w:r>
        <w:rPr>
          <w:rFonts w:ascii="Times New Roman" w:hAnsi="Times New Roman"/>
          <w:sz w:val="28"/>
        </w:rPr>
        <w:t>7</w:t>
      </w:r>
    </w:p>
    <w:p>
      <w:pPr>
        <w:ind w:left="567"/>
      </w:pPr>
      <w:r>
        <w:rPr>
          <w:rFonts w:ascii="Times New Roman" w:hAnsi="Times New Roman"/>
          <w:sz w:val="28"/>
        </w:rPr>
        <w:t>2.1. Описание разработки программного изделия</w:t>
      </w:r>
      <w:r>
        <w:tab/>
      </w:r>
      <w:r>
        <w:rPr>
          <w:rFonts w:ascii="Times New Roman" w:hAnsi="Times New Roman"/>
          <w:sz w:val="28"/>
        </w:rPr>
        <w:t>7</w:t>
      </w:r>
    </w:p>
    <w:p>
      <w:pPr>
        <w:ind w:left="567"/>
      </w:pPr>
      <w:r>
        <w:rPr>
          <w:rFonts w:ascii="Times New Roman" w:hAnsi="Times New Roman"/>
          <w:sz w:val="28"/>
        </w:rPr>
        <w:t>2.2. Описание программного продукта</w:t>
      </w:r>
      <w:r>
        <w:tab/>
      </w:r>
      <w:r>
        <w:rPr>
          <w:rFonts w:ascii="Times New Roman" w:hAnsi="Times New Roman"/>
          <w:sz w:val="28"/>
        </w:rPr>
        <w:t>7</w:t>
      </w:r>
    </w:p>
    <w:p>
      <w:pPr>
        <w:ind w:left="567"/>
      </w:pPr>
      <w:r>
        <w:rPr>
          <w:rFonts w:ascii="Times New Roman" w:hAnsi="Times New Roman"/>
          <w:sz w:val="28"/>
        </w:rPr>
        <w:t>2.2.1. Выбор среды программирования</w:t>
      </w:r>
      <w:r>
        <w:tab/>
      </w:r>
      <w:r>
        <w:rPr>
          <w:rFonts w:ascii="Times New Roman" w:hAnsi="Times New Roman"/>
          <w:sz w:val="28"/>
        </w:rPr>
        <w:t>7</w:t>
      </w:r>
    </w:p>
    <w:p>
      <w:pPr>
        <w:ind w:left="567"/>
      </w:pPr>
      <w:r>
        <w:rPr>
          <w:rFonts w:ascii="Times New Roman" w:hAnsi="Times New Roman"/>
          <w:sz w:val="28"/>
        </w:rPr>
        <w:t>2.2.2. Структура информационной системы проекта</w:t>
      </w:r>
      <w:r>
        <w:tab/>
      </w:r>
      <w:r>
        <w:rPr>
          <w:rFonts w:ascii="Times New Roman" w:hAnsi="Times New Roman"/>
          <w:sz w:val="28"/>
        </w:rPr>
        <w:t>8</w:t>
      </w:r>
    </w:p>
    <w:p>
      <w:r>
        <w:rPr>
          <w:rFonts w:ascii="Times New Roman" w:hAnsi="Times New Roman"/>
          <w:sz w:val="28"/>
        </w:rPr>
        <w:t>Раздел 3. Организация работ по внедрению программного продукта</w:t>
      </w:r>
      <w:r>
        <w:tab/>
      </w:r>
      <w:r>
        <w:rPr>
          <w:rFonts w:ascii="Times New Roman" w:hAnsi="Times New Roman"/>
          <w:sz w:val="28"/>
        </w:rPr>
        <w:t>9</w:t>
      </w:r>
    </w:p>
    <w:p>
      <w:pPr>
        <w:ind w:left="567"/>
      </w:pPr>
      <w:r>
        <w:rPr>
          <w:rFonts w:ascii="Times New Roman" w:hAnsi="Times New Roman"/>
          <w:sz w:val="28"/>
        </w:rPr>
        <w:t>3.1. Установка и настройка компонентов программного продукта</w:t>
      </w:r>
      <w:r>
        <w:tab/>
      </w:r>
      <w:r>
        <w:rPr>
          <w:rFonts w:ascii="Times New Roman" w:hAnsi="Times New Roman"/>
          <w:sz w:val="28"/>
        </w:rPr>
        <w:t>9</w:t>
      </w:r>
    </w:p>
    <w:p>
      <w:pPr>
        <w:ind w:left="567"/>
      </w:pPr>
      <w:r>
        <w:rPr>
          <w:rFonts w:ascii="Times New Roman" w:hAnsi="Times New Roman"/>
          <w:sz w:val="28"/>
        </w:rPr>
        <w:t>3.2. Тестирование компонентов программного продукта</w:t>
      </w:r>
      <w:r>
        <w:tab/>
      </w:r>
      <w:r>
        <w:rPr>
          <w:rFonts w:ascii="Times New Roman" w:hAnsi="Times New Roman"/>
          <w:sz w:val="28"/>
        </w:rPr>
        <w:t>9</w:t>
      </w:r>
    </w:p>
    <w:p>
      <w:pPr>
        <w:ind w:left="567"/>
      </w:pPr>
      <w:r>
        <w:rPr>
          <w:rFonts w:ascii="Times New Roman" w:hAnsi="Times New Roman"/>
          <w:sz w:val="28"/>
        </w:rPr>
        <w:t>3.3. Расчет технико-экономических показателей</w:t>
      </w:r>
      <w:r>
        <w:tab/>
      </w:r>
      <w:r>
        <w:rPr>
          <w:rFonts w:ascii="Times New Roman" w:hAnsi="Times New Roman"/>
          <w:sz w:val="28"/>
        </w:rPr>
        <w:t>9</w:t>
      </w:r>
    </w:p>
    <w:p>
      <w:r>
        <w:rPr>
          <w:rFonts w:ascii="Times New Roman" w:hAnsi="Times New Roman"/>
          <w:sz w:val="28"/>
        </w:rPr>
        <w:t>Заключение</w:t>
      </w:r>
      <w:r>
        <w:tab/>
      </w:r>
      <w:r>
        <w:rPr>
          <w:rFonts w:ascii="Times New Roman" w:hAnsi="Times New Roman"/>
          <w:sz w:val="28"/>
        </w:rPr>
        <w:t>15</w:t>
      </w:r>
    </w:p>
    <w:p>
      <w:r>
        <w:rPr>
          <w:rFonts w:ascii="Times New Roman" w:hAnsi="Times New Roman"/>
          <w:sz w:val="28"/>
        </w:rPr>
        <w:t>Список используемой литературы</w:t>
      </w:r>
      <w:r>
        <w:tab/>
      </w:r>
      <w:r>
        <w:rPr>
          <w:rFonts w:ascii="Times New Roman" w:hAnsi="Times New Roman"/>
          <w:sz w:val="28"/>
        </w:rPr>
        <w:t>16</w:t>
      </w:r>
    </w:p>
    <w:p>
      <w:pPr>
        <w:ind w:left="850"/>
      </w:pPr>
      <w:r>
        <w:rPr>
          <w:rFonts w:ascii="Times New Roman" w:hAnsi="Times New Roman"/>
          <w:sz w:val="28"/>
        </w:rPr>
        <w:t>Приложение 1. Эскизный проект</w:t>
      </w:r>
    </w:p>
    <w:p>
      <w:pPr>
        <w:ind w:left="850"/>
      </w:pPr>
      <w:r>
        <w:rPr>
          <w:rFonts w:ascii="Times New Roman" w:hAnsi="Times New Roman"/>
          <w:sz w:val="28"/>
        </w:rPr>
        <w:t>Приложение 2. Рабочий проект</w:t>
      </w:r>
    </w:p>
    <w:p>
      <w:pPr>
        <w:ind w:left="850"/>
      </w:pPr>
      <w:r>
        <w:rPr>
          <w:rFonts w:ascii="Times New Roman" w:hAnsi="Times New Roman"/>
          <w:sz w:val="28"/>
        </w:rPr>
        <w:t>Приложение 3. Руководство пользователя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32"/>
        </w:rPr>
        <w:t>Введение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На текущем этапе развития цифровых технологий и массового внедрения высокоскоростного интернета индустрия онлайн-образования демонстрирует непрерывное и беспримерное развитие, превратившись в настоящее глобальное социокультурное явление. Стремительная эволюция интерактивных образовательных платформ ярко продемонстрировала формирование многочисленных и различных обучающих сообществ, которые стали центрами обмена знаниями, совместного обучения и профессионального развития. В то же время в этих сообществах потребность в едином, структурированном и функциональном цифровом пространстве для изучения программирования часто не может быть адекватно удовлетворена существующими массовыми площадками. Развитие современных веб-фреймворков, облачных сервисов и гибких баз данных обеспечивает технологическую базу для создания специализированных образовательных платформ, которые могут стать полноценными «цифровыми хабами» для начинающих и опытных программистов, консолидируя учебный контент, практику и отслеживание прогресса.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Занятие разработкой интерактивной образовательной платформы для изучения программирования относится к области веб-инженерии, проектирования образовательных IT-платформ и человеко-компьютерному взаимодействию (HCI). Применение вычислительных средств и программного обеспечения в этой области направлено на решение насущных проблем организации образовательного процесса: обеспечение качественного структурирования и хранения учебного контента (теоретических материалов, практических заданий, тестов), поддержка интерактивного выполнения кода в реальном времени, а также внедрение инструментов геймификации и отслеживания прогресса обучения. Перспективы развития плотно завязаны на интеграцию искусственного интеллекта для персонализированных рекомендаций по обучению, адаптивную сложность заданий на основе уровня подготовки пользователя и построение сложных систем мотивации. Решаемая задача напрямую завязана на проблемы образовательной индустрии, поскольку отсутствие качественной интерактивной платформы приводит к низкой вовлеченности обучающихся, потере мотивации, фрагментации учебных материалов и усложнению процесса самостоятельного обучения.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На рынке уже существует ряд программных решений и онлайн-платформ, которые активно используются для изучения программирования. Среди наиболее распространённых можно выделить такие сервисы, как Codecademy, freeCodeCamp, LeetCode, а также классические MOOC-платформы на базе Coursera или Stepik. Эти платформы предоставляют пользователям базовый функционал для обучения: текстовые и видеоуроки, создание тематических курсов, систему проверки заданий и возможность отслеживания прогресса. Они стали де-факто стандартом для самостоятельного изучения программирования.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Однако эти решения обладают рядом существенных недостатков, которые обуславливают актуальность создания специализированной образовательной платформы:</w:t>
      </w:r>
    </w:p>
    <w:p>
      <w:pPr>
        <w:ind w:left="709" w:firstLine="0"/>
        <w:jc w:val="both"/>
      </w:pPr>
      <w:r>
        <w:rPr>
          <w:rFonts w:ascii="Times New Roman" w:hAnsi="Times New Roman"/>
          <w:sz w:val="28"/>
        </w:rPr>
        <w:t>– фрагментация информации и отсутствие структуры. Платформы вроде freeCodeCamp предоставляют обширный материал, но навигация по курсам зачастую неудобна, а важные концепции могут теряться среди множества разрозненных уроков, что приводит к трудностям в выстраивании последовательного пути обучения;</w:t>
      </w:r>
    </w:p>
    <w:p>
      <w:pPr>
        <w:ind w:left="709" w:firstLine="0"/>
        <w:jc w:val="both"/>
      </w:pPr>
      <w:r>
        <w:rPr>
          <w:rFonts w:ascii="Times New Roman" w:hAnsi="Times New Roman"/>
          <w:sz w:val="28"/>
        </w:rPr>
        <w:t>– перегруженность и отвлекающие факторы. Крупные платформы, такие как Coursera или Udemy, перегружены рекламой, алгоритмической лентой, контентом из других областей и избыточными функциями, что отвлекает пользователя от конкретных целей изучения программирования и усложняет навигацию;</w:t>
      </w:r>
    </w:p>
    <w:p>
      <w:pPr>
        <w:ind w:left="709" w:firstLine="0"/>
        <w:jc w:val="both"/>
      </w:pPr>
      <w:r>
        <w:rPr>
          <w:rFonts w:ascii="Times New Roman" w:hAnsi="Times New Roman"/>
          <w:sz w:val="28"/>
        </w:rPr>
        <w:t>– устаревший или неадаптивный интерфейс. Многие образовательные платформы обладают интерфейсом, который морально и визуально устарел, не соответствует современным стандартам UX/UI и зачастую плохо адаптируется для мобильных устройств, что снижает вовлеченность аудитории;</w:t>
      </w:r>
    </w:p>
    <w:p>
      <w:pPr>
        <w:ind w:left="709" w:firstLine="0"/>
        <w:jc w:val="both"/>
      </w:pPr>
      <w:r>
        <w:rPr>
          <w:rFonts w:ascii="Times New Roman" w:hAnsi="Times New Roman"/>
          <w:sz w:val="28"/>
        </w:rPr>
        <w:t>– отсутствие интерактивного выполнения кода. Существующие решения, как правило, либо не предоставляют встроенную среду выполнения кода, либо реализуют её с серьёзными ограничениями: невозможность тестирования решений в реальном времени, отсутствие автоматической проверки с тест-кейсами, невозможность работы с несколькими языками программирования;</w:t>
      </w:r>
    </w:p>
    <w:p>
      <w:pPr>
        <w:ind w:left="709" w:firstLine="0"/>
        <w:jc w:val="both"/>
      </w:pPr>
      <w:r>
        <w:rPr>
          <w:rFonts w:ascii="Times New Roman" w:hAnsi="Times New Roman"/>
          <w:sz w:val="28"/>
        </w:rPr>
        <w:t>– слабая система мотивации. Управление мотивацией на этих платформах ограничено простыми счётчиками пройденных уроков без комплексной геймификации: очков опыта, уровней, серий обучения, достижений и таблиц лидеров;</w:t>
      </w:r>
    </w:p>
    <w:p>
      <w:pPr>
        <w:ind w:left="709" w:firstLine="0"/>
        <w:jc w:val="both"/>
      </w:pPr>
      <w:r>
        <w:rPr>
          <w:rFonts w:ascii="Times New Roman" w:hAnsi="Times New Roman"/>
          <w:sz w:val="28"/>
        </w:rPr>
        <w:t>– платный доступ к ключевому контенту. Зависимость от подписочной модели означает, что значительная часть учебных материалов и практических заданий закрыта за платной стеной, что создаёт барьер для начинающих программистов.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Актуальность разработки собственной интерактивной образовательной платформы для изучения программирования заключается в возможности создания целостной, управляемой и современной цифровой среды, которая устраняет указанные недостатки. Преимуществами создаваемого программного продукта являются:</w:t>
      </w:r>
    </w:p>
    <w:p>
      <w:pPr>
        <w:ind w:left="709" w:firstLine="0"/>
        <w:jc w:val="both"/>
      </w:pPr>
      <w:r>
        <w:rPr>
          <w:rFonts w:ascii="Times New Roman" w:hAnsi="Times New Roman"/>
          <w:sz w:val="28"/>
        </w:rPr>
        <w:t>– единое структурированное пространство. Объединение теоретических уроков, интерактивных квизов, практических заданий с выполнением кода и системы отслеживания прогресса в рамках одной платформы, где информация имеет четкую иерархию и последовательный путь обучения;</w:t>
      </w:r>
    </w:p>
    <w:p>
      <w:pPr>
        <w:ind w:left="709" w:firstLine="0"/>
        <w:jc w:val="both"/>
      </w:pPr>
      <w:r>
        <w:rPr>
          <w:rFonts w:ascii="Times New Roman" w:hAnsi="Times New Roman"/>
          <w:sz w:val="28"/>
        </w:rPr>
        <w:t>– современный и адаптивный пользовательский интерфейс. Разработка с использованием актуальных фреймворков обеспечит высокую скорость работы, интуитивную навигацию и безупречное отображение на всех типах устройств, включая мобильные;</w:t>
      </w:r>
    </w:p>
    <w:p>
      <w:pPr>
        <w:ind w:left="709" w:firstLine="0"/>
        <w:jc w:val="both"/>
      </w:pPr>
      <w:r>
        <w:rPr>
          <w:rFonts w:ascii="Times New Roman" w:hAnsi="Times New Roman"/>
          <w:sz w:val="28"/>
        </w:rPr>
        <w:t>– встроенная среда выполнения кода. Комплексная система с редактором кода, автоматической проверкой решений через тест-кейсы и поддержкой множества языков программирования (Python, JavaScript, HTML, CSS, SQL, C++, Java), позволяющая практиковаться прямо в браузере;</w:t>
      </w:r>
    </w:p>
    <w:p>
      <w:pPr>
        <w:ind w:left="709" w:firstLine="0"/>
        <w:jc w:val="both"/>
      </w:pPr>
      <w:r>
        <w:rPr>
          <w:rFonts w:ascii="Times New Roman" w:hAnsi="Times New Roman"/>
          <w:sz w:val="28"/>
        </w:rPr>
        <w:t>– комплексная система геймификации. Мотивация пользователей через систему очков опыта (XP), уровней, серий обучения (streak), достижений (бейджей) и глобальной таблицы лидеров;</w:t>
      </w:r>
    </w:p>
    <w:p>
      <w:pPr>
        <w:ind w:left="709" w:firstLine="0"/>
        <w:jc w:val="both"/>
      </w:pPr>
      <w:r>
        <w:rPr>
          <w:rFonts w:ascii="Times New Roman" w:hAnsi="Times New Roman"/>
          <w:sz w:val="28"/>
        </w:rPr>
        <w:t>– контроль над данными и независимость. Развертывание платформы на собственной инфраструктуре гарантирует полный контроль над контентом, дизайном, функционалом и долгосрочную стабильность работы, независимо от политики внешних платформ.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Таким образом, разработка специализированной интерактивной образовательной платформы направлена на создание оптимальной цифровой экосистемы для изучения программирования, предлагая консолидированную альтернативу разрозненным и неспециализированным решениям за счёт комплексного подхода, ориентированного на пользователя и специфику образовательного процесса.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8"/>
        </w:rPr>
        <w:t>Раздел 1. Анализ предметной области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8"/>
        </w:rPr>
        <w:t>1.1 Сбор данных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Предметная область — интерактивные образовательные платформы и сервисы для изучения программирования, предназначенные для обмена знаниями, прохождения структурированных курсов, выполнения практических заданий и отслеживания прогресса обучения.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В ходе сбора данных выполнен анализ типовых решений и пользовательских сценариев, характерных для образовательных платформ по программированию. Выделены основные направления деятельности подобных ресурсов:</w:t>
      </w:r>
    </w:p>
    <w:p>
      <w:pPr>
        <w:ind w:left="709" w:firstLine="0"/>
        <w:jc w:val="both"/>
      </w:pPr>
      <w:r>
        <w:rPr>
          <w:rFonts w:ascii="Times New Roman" w:hAnsi="Times New Roman"/>
          <w:sz w:val="28"/>
        </w:rPr>
        <w:t>– создание и поддержка структурированных курсов по различным языкам программирования (Python, JavaScript, HTML, CSS, SQL, C++, Java);</w:t>
      </w:r>
    </w:p>
    <w:p>
      <w:pPr>
        <w:ind w:left="709" w:firstLine="0"/>
        <w:jc w:val="both"/>
      </w:pPr>
      <w:r>
        <w:rPr>
          <w:rFonts w:ascii="Times New Roman" w:hAnsi="Times New Roman"/>
          <w:sz w:val="28"/>
        </w:rPr>
        <w:t>– предоставление инструментов для интерактивного обучения (встроенный редактор кода, автоматическая проверка решений, мгновенная обратная связь);</w:t>
      </w:r>
    </w:p>
    <w:p>
      <w:pPr>
        <w:ind w:left="709" w:firstLine="0"/>
        <w:jc w:val="both"/>
      </w:pPr>
      <w:r>
        <w:rPr>
          <w:rFonts w:ascii="Times New Roman" w:hAnsi="Times New Roman"/>
          <w:sz w:val="28"/>
        </w:rPr>
        <w:t>– организация и каталогизация учебного контента: теоретических уроков, квизов, практических заданий с тест-кейсами;</w:t>
      </w:r>
    </w:p>
    <w:p>
      <w:pPr>
        <w:ind w:left="709" w:firstLine="0"/>
        <w:jc w:val="both"/>
      </w:pPr>
      <w:r>
        <w:rPr>
          <w:rFonts w:ascii="Times New Roman" w:hAnsi="Times New Roman"/>
          <w:sz w:val="28"/>
        </w:rPr>
        <w:t>– геймификация учебного процесса: система очков опыта, уровней, достижений и таблиц лидеров.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Заинтересованные лица (стейкхолдеры) в создании проекта следующие: учащиеся, преподаватели-авторы контента, администраторы:</w:t>
      </w:r>
    </w:p>
    <w:p>
      <w:pPr>
        <w:ind w:left="709" w:firstLine="0"/>
        <w:jc w:val="both"/>
      </w:pPr>
      <w:r>
        <w:rPr>
          <w:rFonts w:ascii="Times New Roman" w:hAnsi="Times New Roman"/>
          <w:sz w:val="28"/>
        </w:rPr>
        <w:t>– учащиеся — основная аудитория платформы: как новички, делающие первые шаги в программировании и ищущие структурированный путь обучения, так и опытные разработчики, желающие освоить новый язык или закрепить имеющиеся навыки;</w:t>
      </w:r>
    </w:p>
    <w:p>
      <w:pPr>
        <w:ind w:left="709" w:firstLine="0"/>
        <w:jc w:val="both"/>
      </w:pPr>
      <w:r>
        <w:rPr>
          <w:rFonts w:ascii="Times New Roman" w:hAnsi="Times New Roman"/>
          <w:sz w:val="28"/>
        </w:rPr>
        <w:t>– преподаватели-авторы контента — уполномоченные представители, создающие курсы, модули и уроки. Занимаются разработкой теоретических материалов, формулированием вопросов квизов и практических заданий с тест-кейсами;</w:t>
      </w:r>
    </w:p>
    <w:p>
      <w:pPr>
        <w:ind w:left="709" w:firstLine="0"/>
        <w:jc w:val="both"/>
      </w:pPr>
      <w:r>
        <w:rPr>
          <w:rFonts w:ascii="Times New Roman" w:hAnsi="Times New Roman"/>
          <w:sz w:val="28"/>
        </w:rPr>
        <w:t>– системный администратор — технический специалист, обеспечивающий работоспособность серверной инфраструктуры, безопасность, управление пользователями, контролем контента и правами доступа для других ролей.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К функциям стейкхолдеров относятся:</w:t>
      </w:r>
    </w:p>
    <w:p>
      <w:pPr>
        <w:ind w:left="709" w:firstLine="0"/>
        <w:jc w:val="both"/>
      </w:pPr>
      <w:r>
        <w:rPr>
          <w:rFonts w:ascii="Times New Roman" w:hAnsi="Times New Roman"/>
          <w:sz w:val="28"/>
        </w:rPr>
        <w:t>– учащиеся выполняют регистрацию и ведение личного профиля (заполнение имени, выбор аватара), просмотр каталога доступных курсов, запись на курсы, прохождение теоретических уроков с чтением материалов, выполнение квизов с немедленной обратной связью и объяснениями ответов, решение практических задач с написанием кода в встроенном редакторе и проверкой через тест-кейсы, отслеживание прогресса (завершённые уроки, заработанные XP, текущий уровень), поддержание серий обучения (streak) и получение достижений, а также участие в глобальной таблице лидеров;</w:t>
      </w:r>
    </w:p>
    <w:p>
      <w:pPr>
        <w:ind w:left="709" w:firstLine="0"/>
        <w:jc w:val="both"/>
      </w:pPr>
      <w:r>
        <w:rPr>
          <w:rFonts w:ascii="Times New Roman" w:hAnsi="Times New Roman"/>
          <w:sz w:val="28"/>
        </w:rPr>
        <w:t>– преподаватели-авторы контента выполняют создание курсов с описанием, уровнем сложности и языком программирования, организацию курса в модули и уроки, наполнение теоретических уроков учебным материалом в формате Markdown, формулирование вопросов квизов с вариантами ответов и объяснениями, создание практических заданий с инструкциями, стартовым кодом, подсказками и тест-кейсами;</w:t>
      </w:r>
    </w:p>
    <w:p>
      <w:pPr>
        <w:ind w:left="709" w:firstLine="0"/>
        <w:jc w:val="both"/>
      </w:pPr>
      <w:r>
        <w:rPr>
          <w:rFonts w:ascii="Times New Roman" w:hAnsi="Times New Roman"/>
          <w:sz w:val="28"/>
        </w:rPr>
        <w:t>– администратор системы выполняет управление учётными записями и ролями пользователей, настройку прав доступа, создание и управление контентом через административную панель, мониторинг статистики платформы (количество пользователей, курсов, завершённых уроков), поддержку работоспособности информационной системы.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В данной предметной области используются и обрабатываются следующие данные:</w:t>
      </w:r>
    </w:p>
    <w:p>
      <w:pPr>
        <w:ind w:left="709" w:firstLine="0"/>
        <w:jc w:val="both"/>
      </w:pPr>
      <w:r>
        <w:rPr>
          <w:rFonts w:ascii="Times New Roman" w:hAnsi="Times New Roman"/>
          <w:sz w:val="28"/>
        </w:rPr>
        <w:t>– пользовательские данные включают параметры учётной записи (уникальный идентификатор, имя пользователя, хэш пароля, адрес электронной почты, дата регистрации), сведения профиля (аватар, отображаемое имя), а также системные параметры (роль на платформе — администратор или пользователь);</w:t>
      </w:r>
    </w:p>
    <w:p>
      <w:pPr>
        <w:ind w:left="709" w:firstLine="0"/>
        <w:jc w:val="both"/>
      </w:pPr>
      <w:r>
        <w:rPr>
          <w:rFonts w:ascii="Times New Roman" w:hAnsi="Times New Roman"/>
          <w:sz w:val="28"/>
        </w:rPr>
        <w:t>– данные геймификации включают общее количество заработанных очков опыта (XP), текущий уровень пользователя, информацию о сериях обучения (текущая серия, максимальная серия, дата последней активности), а также полученные достижения (бейджи);</w:t>
      </w:r>
    </w:p>
    <w:p>
      <w:pPr>
        <w:ind w:left="709" w:firstLine="0"/>
        <w:jc w:val="both"/>
      </w:pPr>
      <w:r>
        <w:rPr>
          <w:rFonts w:ascii="Times New Roman" w:hAnsi="Times New Roman"/>
          <w:sz w:val="28"/>
        </w:rPr>
        <w:t>– данные курсов и обучения включают структуру курсов (курсы, модули, уроки), описание курсов (название, язык, сложность, количество уроков, расчётное время прохождения, награда в XP), содержание уроков (теоретический текст в Markdown, вопросы квизов с вариантами и правильными ответами, задачи с инструкциями и стартовым кодом), а также тест-кейсы для проверки решений (входные данные, ожидаемый результат);</w:t>
      </w:r>
    </w:p>
    <w:p>
      <w:pPr>
        <w:ind w:left="709" w:firstLine="0"/>
        <w:jc w:val="both"/>
      </w:pPr>
      <w:r>
        <w:rPr>
          <w:rFonts w:ascii="Times New Roman" w:hAnsi="Times New Roman"/>
          <w:sz w:val="28"/>
        </w:rPr>
        <w:t>– данные прогресса пользователя включают записи о завершённых уроках (идентификатор пользователя, идентификатор урока, дата завершения, полученные XP), записи о записях на курсы (дата начала, статус завершения, прогресс);</w:t>
      </w:r>
    </w:p>
    <w:p>
      <w:pPr>
        <w:ind w:left="709" w:firstLine="0"/>
        <w:jc w:val="both"/>
      </w:pPr>
      <w:r>
        <w:rPr>
          <w:rFonts w:ascii="Times New Roman" w:hAnsi="Times New Roman"/>
          <w:sz w:val="28"/>
        </w:rPr>
        <w:t>– справочные данные включают перечень языков программирования, уровней сложности курсов, типов уроков (теория, квиз, практика), а также каталог достижений с описаниями и иконками.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8"/>
        </w:rPr>
        <w:t>1.2. Обоснование необходимости создания автоматизированной системы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Основываясь на собранных данных, была создана модель бизнес-процесса, дающая возможность всестороннего анализа. С применением методологии функционального моделирования IDEF0 или BPMN была построена функциональная модель, представляющая собой структуру и функции, а также потоки информации и материальных объектов, связывающие эти функции. Первая диаграмма (контекстная) в иерархии диаграмм IDEF0 всегда изображает функционирование системы в целом.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[pic]</w:t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1 – Общий вид контекстной диаграммы IDEF0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Для того чтобы сформулировать общие требования к функциональному поведению проектируемой системы строится диаграмма использования, на которой изображаются отношения между стейкхолдерами. Данная модель представлена на примере (см. рисунок 2).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[pic]</w:t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2 – диаграмма вариантов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8"/>
        </w:rPr>
        <w:t>1.3. Предлагаемое решение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Учитывая проведенный анализ предметной области, выявленные недостатки существующих рыночных решений и сформулированные потребности ключевых стейкхолдеров (учащихся, авторов контента и администратора), можно сделать вывод, что для платформы «CodePath» необходимо разработать программный продукт в виде современного, полнофункционального веб-приложения, которое будет решать следующие задачи:</w:t>
      </w:r>
    </w:p>
    <w:p>
      <w:pPr>
        <w:ind w:left="709" w:firstLine="0"/>
        <w:jc w:val="both"/>
      </w:pPr>
      <w:r>
        <w:rPr>
          <w:rFonts w:ascii="Times New Roman" w:hAnsi="Times New Roman"/>
          <w:sz w:val="28"/>
        </w:rPr>
        <w:t>– создание централизованной, структурированной и масштабируемой среды для интерактивного изучения программирования. Это подразумевает реализацию иерархической системы курсов с модулями и уроками по семи языкам программирования;</w:t>
      </w:r>
    </w:p>
    <w:p>
      <w:pPr>
        <w:ind w:left="709" w:firstLine="0"/>
        <w:jc w:val="both"/>
      </w:pPr>
      <w:r>
        <w:rPr>
          <w:rFonts w:ascii="Times New Roman" w:hAnsi="Times New Roman"/>
          <w:sz w:val="28"/>
        </w:rPr>
        <w:t>– обеспечение эффективной организации и долгосрочного сохранения учебного контента. Для этого необходимы инструменты для создания, каталогизации и управления теоретическими уроками, квизами и практическими заданиями, с удобной системой навигации и отслеживания прогресса;</w:t>
      </w:r>
    </w:p>
    <w:p>
      <w:pPr>
        <w:ind w:left="709" w:firstLine="0"/>
        <w:jc w:val="both"/>
      </w:pPr>
      <w:r>
        <w:rPr>
          <w:rFonts w:ascii="Times New Roman" w:hAnsi="Times New Roman"/>
          <w:sz w:val="28"/>
        </w:rPr>
        <w:t>– предоставление встроенной среды выполнения кода с автоматической проверкой решений и мгновенной обратной связью, позволяющей практиковаться прямо в браузере без установки дополнительного программного обеспечения;</w:t>
      </w:r>
    </w:p>
    <w:p>
      <w:pPr>
        <w:ind w:left="709" w:firstLine="0"/>
        <w:jc w:val="both"/>
      </w:pPr>
      <w:r>
        <w:rPr>
          <w:rFonts w:ascii="Times New Roman" w:hAnsi="Times New Roman"/>
          <w:sz w:val="28"/>
        </w:rPr>
        <w:t>– внедрение комплексной системы геймификации для поддержания мотивации учащихся, включающей очки опыта, уровни, серии обучения, достижения и глобальную таблицу лидеров.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8"/>
        </w:rPr>
        <w:t>Раздел 2. Технология разработки программного продукта заказчика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8"/>
        </w:rPr>
        <w:t>2.1. Описание разработки программного изделия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Разработка программного продукта «CodePath» выполнялась как создание современного интерактивного веб-приложения для изучения программирования, где пользователь получает единое пространство для обучения: прохождение структурированных курсов, выполнение практических заданий, отслеживание прогресса и участие в системе геймификации. С точки зрения предметной области проект относится к образовательным IT-платформам (EdTech), в которых ключевую роль играют качественный учебный контент, интерактивность и мотивация пользователей.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При проектировании была принята клиент-серверная модель: клиентская часть отвечает за страницы и пользовательские сценарии (каталог курсов, прохождение уроков, профиль, таблица лидеров, достижения), а серверная — за API-методы, которые обрабатывают запросы, выполняют проверки, работают с базой данных, выполняют код пользователя и возвращают данные в удобном для интерфейса виде. Для хранения данных используется реляционная БД PostgreSQL, а доступ к данным реализован через Drizzle ORM; на уровне схемы описаны пользователи, курсы, модули, уроки, квизы, задачи, прогресс, геймификация и другие сущности, необходимые для работы платформы.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В ходе разработки система была разделена на логические модули: модуль аутентификации и сессий (регистрация, вход, JWT-токены), модуль профиля и настроек, модуль курсов и уроков (каталог, запись, прохождение), модуль квизов (вопросы, варианты ответов, проверка), модуль практических заданий (редактор кода, выполнение, проверка через тест-кейсы), модуль геймификации (XP, уровни, серии, достижения, таблица лидеров), а также административный модуль (управление контентом и пользователями). Такой подход позволяет изолировать ответственность компонентов и упрощает дальнейшее расширение функционала.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Отдельно в проект заложена система выполнения пользовательского кода через серверный модуль CodeRunner, который поддерживает запуск программ на Python и JavaScript через дочерние процессы (child_process), а также базовую проверку HTML, CSS и SQL через сопоставление с образцом. Для обеспечения безопасности применяются ограничения по времени выполнения и фильтрация потенциально опасных конструкций.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8"/>
        </w:rPr>
        <w:t>2.1.1. Требования к функциональным характеристикам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Программный продукт «CodePath» должен обеспечивать полный цикл работы пользователя с образовательной платформой, начиная с создания учётной записи и заканчивая прохождением курсов и получением достижений. В части регистрации и входа система должна поддерживать локальную регистрацию по email и паролю с безопасным хранением пароля в виде хэша, а также аутентификацию через JWT-токены для обеспечения безопасности сессий.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После авторизации пользователь должен иметь возможность просматривать личный дашборд с обзором прогресса обучения, текущим уровнем, серией обучения и последними активностями. Каталог курсов должен отображать все доступные курсы с информацией о языке программирования, уровне сложности, количестве уроков, расчётном времени прохождения и награде в XP.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Контентный функционал должен обеспечивать три типа уроков: теоретические уроки с текстовым содержимым в формате Markdown, квизы с множественным выбором, объяснениями ответов и начислением XP за правильные ответы, а также практические задания с встроенным редактором кода (Monaco Editor), автоматической проверкой через тест-кейсы и подсказками.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Система геймификации должна обеспечивать начисление очков опыта (XP) за выполненные уроки, автоматический расчёт уровня пользователя, отслеживание серий ежедневного обучения (streak), присвоение достижений при выполнении определённых условий (первый урок, 5 уроков, 7-дневная серия и т.д.) и глобальную таблицу лидеров с ранжированием по XP.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Административный функционал должен обеспечивать создание и управление курсами, модулями, уроками, вопросами квизов, вариантами ответов, практическими заданиями и тест-кейсами через защищённую административную панель.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8"/>
        </w:rPr>
        <w:t>2.1.2. Требования к надёжности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Надёжность программного продукта CodePath должна обеспечиваться за счёт предсказуемой обработки ошибок, строгой проверки входных данных и устойчивости к сбоям. На уровне серверной логики все запросы должны проходить валидацию: для операций, связанных с пользовательским контентом, требуется отсеивать пустые значения, проверять корректность связей между объектами и возвращать однозначные коды ошибок, чтобы интерфейс мог корректно реагировать на отказ, не приводя систему в неконсистентное состояние.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Постоянные данные должны храниться в СУБД PostgreSQL, а доступ к ним выполняться через слой ORM; при эксплуатации необходимо исключать «тихие» сбои соединений и деградацию производительности за счёт ограничения пула подключений и использования защищённого соединения в производственной среде.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Модуль выполнения пользовательского кода должен быть изолирован от основного серверного процесса, иметь ограничение по времени выполнения (таймаут) и фильтрацию потенциально опасных конструкций для предотвращения злоупотреблений.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8"/>
        </w:rPr>
        <w:t>2.1.3. Требования к составу и параметрам технических средств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Для нормального функционирования программного продукта «CodePath» требуется:</w:t>
      </w:r>
    </w:p>
    <w:p>
      <w:pPr>
        <w:ind w:left="709" w:firstLine="0"/>
        <w:jc w:val="both"/>
      </w:pPr>
      <w:r>
        <w:rPr>
          <w:rFonts w:ascii="Times New Roman" w:hAnsi="Times New Roman"/>
          <w:sz w:val="28"/>
        </w:rPr>
        <w:t>– персональный компьютер или мобильное устройство с доступом в Интернет;</w:t>
      </w:r>
    </w:p>
    <w:p>
      <w:pPr>
        <w:ind w:left="709" w:firstLine="0"/>
        <w:jc w:val="both"/>
      </w:pPr>
      <w:r>
        <w:rPr>
          <w:rFonts w:ascii="Times New Roman" w:hAnsi="Times New Roman"/>
          <w:sz w:val="28"/>
        </w:rPr>
        <w:t>– современный веб-браузер (Google Chrome 90+, Mozilla Firefox 90+, Safari 14+, Microsoft Edge 90+), поддерживающий стандарты HTML5, CSS3, JavaScript ES2020+;</w:t>
      </w:r>
    </w:p>
    <w:p>
      <w:pPr>
        <w:ind w:left="709" w:firstLine="0"/>
        <w:jc w:val="both"/>
      </w:pPr>
      <w:r>
        <w:rPr>
          <w:rFonts w:ascii="Times New Roman" w:hAnsi="Times New Roman"/>
          <w:sz w:val="28"/>
        </w:rPr>
        <w:t>– минимальное разрешение экрана: 375×667 пикселей (адаптивный дизайн обеспечивает корректное отображение на всех устройствах);</w:t>
      </w:r>
    </w:p>
    <w:p>
      <w:pPr>
        <w:ind w:left="709" w:firstLine="0"/>
        <w:jc w:val="both"/>
      </w:pPr>
      <w:r>
        <w:rPr>
          <w:rFonts w:ascii="Times New Roman" w:hAnsi="Times New Roman"/>
          <w:sz w:val="28"/>
        </w:rPr>
        <w:t>– рекомендуемая скорость интернет-соединения: от 1 Мбит/с.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Серверная часть требует:</w:t>
      </w:r>
    </w:p>
    <w:p>
      <w:pPr>
        <w:ind w:left="709" w:firstLine="0"/>
        <w:jc w:val="both"/>
      </w:pPr>
      <w:r>
        <w:rPr>
          <w:rFonts w:ascii="Times New Roman" w:hAnsi="Times New Roman"/>
          <w:sz w:val="28"/>
        </w:rPr>
        <w:t>– среда выполнения Node.js версии 18+;</w:t>
      </w:r>
    </w:p>
    <w:p>
      <w:pPr>
        <w:ind w:left="709" w:firstLine="0"/>
        <w:jc w:val="both"/>
      </w:pPr>
      <w:r>
        <w:rPr>
          <w:rFonts w:ascii="Times New Roman" w:hAnsi="Times New Roman"/>
          <w:sz w:val="28"/>
        </w:rPr>
        <w:t>– СУБД PostgreSQL версии 16+;</w:t>
      </w:r>
    </w:p>
    <w:p>
      <w:pPr>
        <w:ind w:left="709" w:firstLine="0"/>
        <w:jc w:val="both"/>
      </w:pPr>
      <w:r>
        <w:rPr>
          <w:rFonts w:ascii="Times New Roman" w:hAnsi="Times New Roman"/>
          <w:sz w:val="28"/>
        </w:rPr>
        <w:t>– оперативная память: не менее 512 МБ;</w:t>
      </w:r>
    </w:p>
    <w:p>
      <w:pPr>
        <w:ind w:left="709" w:firstLine="0"/>
        <w:jc w:val="both"/>
      </w:pPr>
      <w:r>
        <w:rPr>
          <w:rFonts w:ascii="Times New Roman" w:hAnsi="Times New Roman"/>
          <w:sz w:val="28"/>
        </w:rPr>
        <w:t>– наличие установленных интерпретаторов Python 3.11+ и Node.js для модуля выполнения кода.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8"/>
        </w:rPr>
        <w:t>2.1.4. Требования к информационной и программной совместимости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Программный продукт «CodePath» разработан как веб-приложение и не требует установки дополнительного программного обеспечения на стороне клиента. Клиентская часть реализована как одностраничное приложение (SPA), работающее в любом современном веб-браузере. Серверная часть развёрнута на платформе Replit с использованием автомасштабируемого деплоя и взаимодействует с облачной базой данных PostgreSQL.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8"/>
        </w:rPr>
        <w:t>2.2. Описание программного продукта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8"/>
        </w:rPr>
        <w:t>2.2.1. Выбор среды программирования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Для реализации клиентской части веб-приложения «CodePath» был выбран фреймворк React в связке со сборщиком Vite. React является одной из наиболее популярных и зрелых библиотек для построения пользовательских интерфейсов, обеспечивающей компонентную архитектуру, декларативный подход к описанию UI и высокую производительность благодаря виртуальному DOM. Vite используется как инструмент сборки, обеспечивающий мгновенную горячую перезагрузку модулей (HMR) и оптимизированную сборку для производственной среды.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Для стилизации интерфейса применяется Tailwind CSS — утилитарный CSS-фреймворк, позволяющий быстро создавать адаптивные и визуально привлекательные интерфейсы без написания отдельных файлов стилей. В качестве библиотеки UI-компонентов используются примитивы Radix UI, обеспечивающие доступность (WCAG-совместимость), а также Framer Motion для создания плавных анимаций переходов и интерактивных элементов.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Для встроенного редактора кода используется Monaco Editor (тот же редактор, что лежит в основе VS Code), который обеспечивает подсветку синтаксиса, автодополнение и удобное редактирование кода для всех поддерживаемых языков программирования.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Управление состоянием и взаимодействие с серверным API реализовано через TanStack React Query, который обеспечивает эффективное кеширование данных, автоматическую повторную загрузку и синхронизацию состояния клиента с сервером. Маршрутизация реализована через легковесную библиотеку Wouter.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На серверной стороне используется Express (версия 5) — минималистичный и гибкий веб-фреймворк для Node.js, который обеспечивает обработку HTTP-запросов и маршрутизацию API. Весь серверный код написан на TypeScript, что обеспечивает строгую типизацию и раннее обнаружение ошибок на этапе разработки.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Для аутентификации используется система JWT-токенов (JSON Web Tokens), обеспечивающая безопасную работу с сессиями без необходимости хранения состояния на сервере.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В качестве СУБД выбрана PostgreSQL, а доступ к данным реализован через Drizzle ORM. Такой выбор позволяет хранить информацию в реляционном виде и при этом описывать структуру таблиц и связей в типизированном виде на стороне приложения, что удобно для сущностей «пользователь», «курс», «модуль», «урок», «квиз», «задача», «прогресс» и «достижение».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8"/>
        </w:rPr>
        <w:t>2.2.2. Структура информационной системы проекта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Информационная система веб-приложения «CodePath» построена по типовой схеме веб-сервиса и включает пользовательскую часть, серверную часть и слой данных. Пользовательская часть представляет собой набор страниц и компонентов интерфейса, которые отображаются в браузере и обеспечивают выполнение действий пользователя, а серверная часть обрабатывает запросы, выполняет проверки доступа, обращается к базе данных, выполняет пользовательский код и возвращает результаты в виде ответов для интерфейса.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Слой данных представлен реляционной базой PostgreSQL, где описаны основные сущности и связи проекта. В структуре предусмотрена таблица пользователей (users) с уникальным username, хранением хэша пароля, email и параметрами профиля. Образовательная часть включает таблицы курсов (courses) с метаданными, модулей (modules) для группировки уроков, уроков (lessons) трёх типов (теория, квиз, практика), вопросов квизов (quiz_questions) с вариантами ответов (quiz_options), практических заданий (coding_challenges) с тест-кейсами (test_cases). Геймификационная часть включает таблицы XP (user_xp), серий обучения (user_streaks), достижений (achievements) и полученных достижений пользователей (user_achievements). Прогресс отслеживается через таблицы user_lesson_progress и user_course_enrollments.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Серверная часть логически разделена по функциональным направлениям, что выражается в отдельных Express-роутерах, объединяемых под общим префиксом API. В системе выделяются операции аутентификации, операции работы с курсами, операции прохождения уроков, операции геймификации, а также административные операции (CRUD для всех сущностей контента).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Отдельным элементом структуры является модуль выполнения пользовательского кода (CodeRunner). В проекте реализован серверный модуль, принимающий код пользователя и набор тест-кейсов, запускающий код через дочерние процессы для Python и JavaScript, а также выполняющий проверку HTML, CSS и SQL через сопоставление с образцом.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8"/>
        </w:rPr>
        <w:t>Раздел 3. Организация работ по внедрению программного продукта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8"/>
        </w:rPr>
        <w:t>3.1. Установка и настройка компонентов программного продукта</w:t>
      </w:r>
    </w:p>
    <w:p>
      <w:r>
        <w:rPr>
          <w:rFonts w:ascii="Times New Roman" w:hAnsi="Times New Roman"/>
          <w:sz w:val="28"/>
        </w:rPr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8"/>
        </w:rPr>
        <w:t>3.2. Тестирование компонентов программного продукта</w:t>
      </w:r>
    </w:p>
    <w:p>
      <w:r>
        <w:rPr>
          <w:rFonts w:ascii="Times New Roman" w:hAnsi="Times New Roman"/>
          <w:sz w:val="28"/>
        </w:rPr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8"/>
        </w:rPr>
        <w:t>3.3. Расчет технико-экономических показателей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Целью экономической части является определение затрат на разработку продукта автоматизированной системы «CodePath».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Программный продукт «CodePath» также необходим:</w:t>
      </w:r>
    </w:p>
    <w:p>
      <w:pPr>
        <w:ind w:left="709" w:firstLine="0"/>
        <w:jc w:val="both"/>
      </w:pPr>
      <w:r>
        <w:rPr>
          <w:rFonts w:ascii="Times New Roman" w:hAnsi="Times New Roman"/>
          <w:sz w:val="28"/>
        </w:rPr>
        <w:t>• для автоматизации процесса обучения программированию с интерактивной проверкой решений;</w:t>
      </w:r>
    </w:p>
    <w:p>
      <w:pPr>
        <w:ind w:left="709" w:firstLine="0"/>
        <w:jc w:val="both"/>
      </w:pPr>
      <w:r>
        <w:rPr>
          <w:rFonts w:ascii="Times New Roman" w:hAnsi="Times New Roman"/>
          <w:sz w:val="28"/>
        </w:rPr>
        <w:t>• для организации деятельности, помогающей структурированно подавать учебный материал и отслеживать прогресс учащихся.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При внедрении данного программного продукта в эксплуатацию:</w:t>
      </w:r>
    </w:p>
    <w:p>
      <w:pPr>
        <w:ind w:left="709" w:firstLine="0"/>
        <w:jc w:val="both"/>
      </w:pPr>
      <w:r>
        <w:rPr>
          <w:rFonts w:ascii="Times New Roman" w:hAnsi="Times New Roman"/>
          <w:sz w:val="28"/>
        </w:rPr>
        <w:t>• он упростит процесс самостоятельного изучения программирования, что способствует повышению эффективности обучения.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8"/>
        </w:rPr>
        <w:t>3.3.1. Технико-экономические расчёты экономической целесообразности разработки программы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В данном подразделе дипломного проекта производится расчет экономической целесообразности и эффективности разрабатываемого продукта Интернет-сайта «CodePath».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Целью данного подраздела является расчет:</w:t>
      </w:r>
    </w:p>
    <w:p>
      <w:pPr>
        <w:ind w:left="709" w:firstLine="0"/>
        <w:jc w:val="both"/>
      </w:pPr>
      <w:r>
        <w:rPr>
          <w:rFonts w:ascii="Times New Roman" w:hAnsi="Times New Roman"/>
          <w:sz w:val="28"/>
        </w:rPr>
        <w:t>– себестоимости проекта,</w:t>
      </w:r>
    </w:p>
    <w:p>
      <w:pPr>
        <w:ind w:left="709" w:firstLine="0"/>
        <w:jc w:val="both"/>
      </w:pPr>
      <w:r>
        <w:rPr>
          <w:rFonts w:ascii="Times New Roman" w:hAnsi="Times New Roman"/>
          <w:sz w:val="28"/>
        </w:rPr>
        <w:t>– экономической эффективности проекта.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Для подсчета себестоимости проекта и экономической эффективности данного программного продукта, нужны следующие составляющие:</w:t>
      </w:r>
    </w:p>
    <w:p>
      <w:pPr>
        <w:ind w:left="709" w:firstLine="0"/>
        <w:jc w:val="both"/>
      </w:pPr>
      <w:r>
        <w:rPr>
          <w:rFonts w:ascii="Times New Roman" w:hAnsi="Times New Roman"/>
          <w:sz w:val="28"/>
        </w:rPr>
        <w:t>– заработная плата разработчика;</w:t>
      </w:r>
    </w:p>
    <w:p>
      <w:pPr>
        <w:ind w:left="709" w:firstLine="0"/>
        <w:jc w:val="both"/>
      </w:pPr>
      <w:r>
        <w:rPr>
          <w:rFonts w:ascii="Times New Roman" w:hAnsi="Times New Roman"/>
          <w:sz w:val="28"/>
        </w:rPr>
        <w:t>– программное обеспечение и лицензии;</w:t>
      </w:r>
    </w:p>
    <w:p>
      <w:pPr>
        <w:ind w:left="709" w:firstLine="0"/>
        <w:jc w:val="both"/>
      </w:pPr>
      <w:r>
        <w:rPr>
          <w:rFonts w:ascii="Times New Roman" w:hAnsi="Times New Roman"/>
          <w:sz w:val="28"/>
        </w:rPr>
        <w:t>– хостинг и доменное имя;</w:t>
      </w:r>
    </w:p>
    <w:p>
      <w:pPr>
        <w:ind w:left="709" w:firstLine="0"/>
        <w:jc w:val="both"/>
      </w:pPr>
      <w:r>
        <w:rPr>
          <w:rFonts w:ascii="Times New Roman" w:hAnsi="Times New Roman"/>
          <w:sz w:val="28"/>
        </w:rPr>
        <w:t>– тестирование и поддержка;</w:t>
      </w:r>
    </w:p>
    <w:p>
      <w:pPr>
        <w:ind w:left="709" w:firstLine="0"/>
        <w:jc w:val="both"/>
      </w:pPr>
      <w:r>
        <w:rPr>
          <w:rFonts w:ascii="Times New Roman" w:hAnsi="Times New Roman"/>
          <w:sz w:val="28"/>
        </w:rPr>
        <w:t>– реклама и продвижение сайта;</w:t>
      </w:r>
    </w:p>
    <w:p>
      <w:pPr>
        <w:ind w:left="709" w:firstLine="0"/>
        <w:jc w:val="both"/>
      </w:pPr>
      <w:r>
        <w:rPr>
          <w:rFonts w:ascii="Times New Roman" w:hAnsi="Times New Roman"/>
          <w:sz w:val="28"/>
        </w:rPr>
        <w:t>– затраты на энергоресурсы;</w:t>
      </w:r>
    </w:p>
    <w:p>
      <w:pPr>
        <w:ind w:left="709" w:firstLine="0"/>
        <w:jc w:val="both"/>
      </w:pPr>
      <w:r>
        <w:rPr>
          <w:rFonts w:ascii="Times New Roman" w:hAnsi="Times New Roman"/>
          <w:sz w:val="28"/>
        </w:rPr>
        <w:t>– амортизационные отчисления.</w:t>
      </w:r>
    </w:p>
    <w:p>
      <w:pPr>
        <w:jc w:val="center"/>
      </w:pPr>
      <w:r>
        <w:rPr>
          <w:rFonts w:ascii="Times New Roman" w:hAnsi="Times New Roman"/>
          <w:b/>
          <w:sz w:val="28"/>
        </w:rPr>
        <w:t>Таблица 1. Исходные данные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Показатели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Единицы измерения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Страховые взносы (от заработной платы), в том числе: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%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30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- отчисления в пенсионный фонд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%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22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- отчисления в фонд социального страхования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%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2,9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- отчисления в Федеральный и Территориальный фонд обязательного медицинского страхования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%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5,1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Заработная плата специалиста (разработчик Интернет-сайта)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руб./мес.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100 000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Премия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%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40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Заработная плата специалиста (администратор)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руб./мес.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70 000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Премия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%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20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Фонд рабочего времени в 2026 году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дней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247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при 40-часовой рабочей неделе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часов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1972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Стоимость компьютера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Руб.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100 000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Срок полезного использования компьютера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лет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Затраты на текущий и профилактический ремонт компьютера (от стоимости компьютера) в год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%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Затраты на материалы, необходимые для эксплуатации компьютера (от стоимости компьютера) в год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%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Потребляемая мощность компьютера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кВт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0,45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Тариф на электроэнергию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Руб./кВт-час.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7,87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Затраты на хостинг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руб.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3 000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Затраты на лицензии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руб.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500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Рекламные расходы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руб.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10 000</w:t>
            </w:r>
          </w:p>
        </w:tc>
      </w:tr>
    </w:tbl>
    <w:p>
      <w:r>
        <w:rPr>
          <w:rFonts w:ascii="Times New Roman" w:hAnsi="Times New Roman"/>
          <w:sz w:val="28"/>
        </w:rPr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8"/>
        </w:rPr>
        <w:t>3.3.2. Расчет затрат на разработку программного продукта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Среднечасовая оплата труда рассчитывается по формуле (1):</w:t>
      </w:r>
    </w:p>
    <w:p>
      <w:pPr>
        <w:jc w:val="right"/>
      </w:pPr>
      <w:r>
        <w:rPr>
          <w:rFonts w:ascii="Times New Roman" w:hAnsi="Times New Roman"/>
          <w:sz w:val="28"/>
        </w:rPr>
        <w:t>ЗПср.час. = О * Кп * 12 / Фрв                    (1)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где О - оклад специалиста по штатному расписанию,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 xml:space="preserve">    Кп – процент премии;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 xml:space="preserve">    Фрв – фонд рабочего времени в год.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ЗПср.час. = 100 000 * 1.4 * 12/1972 = 851,93 руб./час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Для администратора: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ЗПср.час. = 70 000 *1,2 * 12 / 1972 = 511,16 руб./час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Определение затрат на оплату труда производится по формуле (2):</w:t>
      </w:r>
    </w:p>
    <w:p>
      <w:pPr>
        <w:jc w:val="right"/>
      </w:pPr>
      <w:r>
        <w:rPr>
          <w:rFonts w:ascii="Times New Roman" w:hAnsi="Times New Roman"/>
          <w:sz w:val="28"/>
        </w:rPr>
        <w:t>ЗП = ЗПср.час. * Тпр.                              (2)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где: ЗП - это размер затрат на оплату труда привлекаемых специалистов;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 xml:space="preserve">    Тпр – трудоемкость разработки программного продукта, час.;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 xml:space="preserve">    ЗПср.час – среднечасовая оплата труда, руб./час.;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ЗП = 851,93 * 240 = 204462,47 руб.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Для администратора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ЗП = 511,16 × 140 = 71561,87 руб.</w:t>
      </w:r>
    </w:p>
    <w:p>
      <w:pPr>
        <w:spacing w:before="240" w:after="120"/>
        <w:jc w:val="center"/>
      </w:pPr>
      <w:r>
        <w:rPr>
          <w:rFonts w:ascii="Times New Roman" w:hAnsi="Times New Roman"/>
          <w:b w:val="0"/>
          <w:sz w:val="28"/>
        </w:rPr>
        <w:t>Определение страховых взносов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Расчет страховых взносов принимается в размере 30% от заработной платы (3)</w:t>
      </w:r>
    </w:p>
    <w:p>
      <w:pPr>
        <w:jc w:val="right"/>
      </w:pPr>
      <w:r>
        <w:rPr>
          <w:rFonts w:ascii="Times New Roman" w:hAnsi="Times New Roman"/>
          <w:sz w:val="28"/>
        </w:rPr>
        <w:t>СтрВзн = ЗП * Страх взносы                        (3)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СтрВзн = (204462,47+71561,87) * 0,3=82807,30 руб.</w:t>
      </w:r>
    </w:p>
    <w:p>
      <w:pPr>
        <w:spacing w:before="240" w:after="120"/>
        <w:jc w:val="center"/>
      </w:pPr>
      <w:r>
        <w:rPr>
          <w:rFonts w:ascii="Times New Roman" w:hAnsi="Times New Roman"/>
          <w:b w:val="0"/>
          <w:sz w:val="28"/>
        </w:rPr>
        <w:t>Амортизационные отчисления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Амортизационные отчисления – отчисления части стоимости основных фондов для возмещения их износа. Амортизационные отчисления включаются в издержки производства и рассчитываются по формуле (4):</w:t>
      </w:r>
    </w:p>
    <w:p>
      <w:pPr>
        <w:jc w:val="right"/>
      </w:pPr>
      <w:r>
        <w:rPr>
          <w:rFonts w:ascii="Times New Roman" w:hAnsi="Times New Roman"/>
          <w:sz w:val="28"/>
        </w:rPr>
        <w:t>АО = Сп *На * Тмаш / Фрв,                        (4)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где Сп – стоимость компьютера, руб.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 xml:space="preserve">   На – норма амортизационных отчислений за год, % рассчитывается по формуле (5):</w:t>
      </w:r>
    </w:p>
    <w:p>
      <w:pPr>
        <w:jc w:val="right"/>
      </w:pPr>
      <w:r>
        <w:rPr>
          <w:rFonts w:ascii="Times New Roman" w:hAnsi="Times New Roman"/>
          <w:sz w:val="28"/>
        </w:rPr>
        <w:t>На = 1 / СПИ * 100%,                              (5)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где СПИ – срок полезного использования компьютера, лет;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 xml:space="preserve">   Тмаш – машинное время, час;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 xml:space="preserve">   Фрв – фонд рабочего времени в год.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На = 1 / 5 *100 =20%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АО = 100 000 * 0,2 * 380 / 1972 = 3 853,96 руб.</w:t>
      </w:r>
    </w:p>
    <w:p>
      <w:pPr>
        <w:spacing w:before="240" w:after="120"/>
        <w:jc w:val="center"/>
      </w:pPr>
      <w:r>
        <w:rPr>
          <w:rFonts w:ascii="Times New Roman" w:hAnsi="Times New Roman"/>
          <w:b w:val="0"/>
          <w:sz w:val="28"/>
        </w:rPr>
        <w:t>Затраты на текущий и профилактический ремонт компьютера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Затраты на текущий и профилактический ремонт компьютера рассчитывается по формуле (6):</w:t>
      </w:r>
    </w:p>
    <w:p>
      <w:pPr>
        <w:jc w:val="right"/>
      </w:pPr>
      <w:r>
        <w:rPr>
          <w:rFonts w:ascii="Times New Roman" w:hAnsi="Times New Roman"/>
          <w:sz w:val="28"/>
        </w:rPr>
        <w:t>Зпр.р. = Сп * 0,06 * Тмаш / Фрв                  (6)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Зпр.р. =100 000 * 0,06 * 380/1972 = 1156,19 руб.</w:t>
      </w:r>
    </w:p>
    <w:p>
      <w:pPr>
        <w:spacing w:before="240" w:after="120"/>
        <w:jc w:val="center"/>
      </w:pPr>
      <w:r>
        <w:rPr>
          <w:rFonts w:ascii="Times New Roman" w:hAnsi="Times New Roman"/>
          <w:b w:val="0"/>
          <w:sz w:val="28"/>
        </w:rPr>
        <w:t>Затраты на материалы, необходимые для эксплуатации компьютера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Затраты на материалы рассчитывается по формуле (7):</w:t>
      </w:r>
    </w:p>
    <w:p>
      <w:pPr>
        <w:jc w:val="right"/>
      </w:pPr>
      <w:r>
        <w:rPr>
          <w:rFonts w:ascii="Times New Roman" w:hAnsi="Times New Roman"/>
          <w:sz w:val="28"/>
        </w:rPr>
        <w:t>Зматер. = Сп * 0,02 * Тмаш / Фрв                  (7)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Зматер. = 100 000 * 0,02 * 380/1972 = 385,40 руб.</w:t>
      </w:r>
    </w:p>
    <w:p>
      <w:pPr>
        <w:spacing w:before="240" w:after="120"/>
        <w:jc w:val="center"/>
      </w:pPr>
      <w:r>
        <w:rPr>
          <w:rFonts w:ascii="Times New Roman" w:hAnsi="Times New Roman"/>
          <w:b w:val="0"/>
          <w:sz w:val="28"/>
        </w:rPr>
        <w:t>Затраты на электроэнергию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Затраты на электроэнергию рассчитывается по формуле (8):</w:t>
      </w:r>
    </w:p>
    <w:p>
      <w:pPr>
        <w:jc w:val="right"/>
      </w:pPr>
      <w:r>
        <w:rPr>
          <w:rFonts w:ascii="Times New Roman" w:hAnsi="Times New Roman"/>
          <w:sz w:val="28"/>
        </w:rPr>
        <w:t>Зэл. = W * Сэл. * Тмаш ,                          (8)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где W – потребляемая мощность компьютера, кВт;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Сэл. – тариф на электроэнергию, руб/кВт-час.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Зэл. = 0,45 * 7,87 * 380 = 1 345,77 руб</w:t>
      </w:r>
    </w:p>
    <w:p>
      <w:pPr>
        <w:jc w:val="center"/>
      </w:pPr>
      <w:r>
        <w:rPr>
          <w:rFonts w:ascii="Times New Roman" w:hAnsi="Times New Roman"/>
          <w:b/>
          <w:sz w:val="28"/>
        </w:rPr>
        <w:t>Таблица 2 – Расчет себестоимости программного продукта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Наименование статей калькуляции</w:t>
            </w:r>
          </w:p>
        </w:tc>
        <w:tc>
          <w:tcPr>
            <w:tcW w:type="dxa" w:w="4677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Сумма руб.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Стоимость электроэнергии</w:t>
            </w:r>
          </w:p>
        </w:tc>
        <w:tc>
          <w:tcPr>
            <w:tcW w:type="dxa" w:w="4677"/>
          </w:tcPr>
          <w:p>
            <w:pPr>
              <w:jc w:val="right"/>
            </w:pPr>
            <w:r>
              <w:rPr>
                <w:rFonts w:ascii="Times New Roman" w:hAnsi="Times New Roman"/>
                <w:sz w:val="24"/>
              </w:rPr>
              <w:t>1 345,77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Стоимость амортизационных отчислений</w:t>
            </w:r>
          </w:p>
        </w:tc>
        <w:tc>
          <w:tcPr>
            <w:tcW w:type="dxa" w:w="4677"/>
          </w:tcPr>
          <w:p>
            <w:pPr>
              <w:jc w:val="right"/>
            </w:pPr>
            <w:r>
              <w:rPr>
                <w:rFonts w:ascii="Times New Roman" w:hAnsi="Times New Roman"/>
                <w:sz w:val="24"/>
              </w:rPr>
              <w:t>3 853,96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Стоимость текущего ремонта оборудования</w:t>
            </w:r>
          </w:p>
        </w:tc>
        <w:tc>
          <w:tcPr>
            <w:tcW w:type="dxa" w:w="4677"/>
          </w:tcPr>
          <w:p>
            <w:pPr>
              <w:jc w:val="right"/>
            </w:pPr>
            <w:r>
              <w:rPr>
                <w:rFonts w:ascii="Times New Roman" w:hAnsi="Times New Roman"/>
                <w:sz w:val="24"/>
              </w:rPr>
              <w:t>1 156,19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Стоимость материальных затрат</w:t>
            </w:r>
          </w:p>
        </w:tc>
        <w:tc>
          <w:tcPr>
            <w:tcW w:type="dxa" w:w="4677"/>
          </w:tcPr>
          <w:p>
            <w:pPr>
              <w:jc w:val="right"/>
            </w:pPr>
            <w:r>
              <w:rPr>
                <w:rFonts w:ascii="Times New Roman" w:hAnsi="Times New Roman"/>
                <w:sz w:val="24"/>
              </w:rPr>
              <w:t>385,40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Затраты на оплату труда разработчика</w:t>
            </w:r>
          </w:p>
        </w:tc>
        <w:tc>
          <w:tcPr>
            <w:tcW w:type="dxa" w:w="4677"/>
          </w:tcPr>
          <w:p>
            <w:pPr>
              <w:jc w:val="right"/>
            </w:pPr>
            <w:r>
              <w:rPr>
                <w:rFonts w:ascii="Times New Roman" w:hAnsi="Times New Roman"/>
                <w:sz w:val="24"/>
              </w:rPr>
              <w:t>204 462,47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Затраты на оплату труда администратора</w:t>
            </w:r>
          </w:p>
        </w:tc>
        <w:tc>
          <w:tcPr>
            <w:tcW w:type="dxa" w:w="4677"/>
          </w:tcPr>
          <w:p>
            <w:pPr>
              <w:jc w:val="right"/>
            </w:pPr>
            <w:r>
              <w:rPr>
                <w:rFonts w:ascii="Times New Roman" w:hAnsi="Times New Roman"/>
                <w:sz w:val="24"/>
              </w:rPr>
              <w:t>71 561,87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Отчисления в ФСО</w:t>
            </w:r>
          </w:p>
        </w:tc>
        <w:tc>
          <w:tcPr>
            <w:tcW w:type="dxa" w:w="4677"/>
          </w:tcPr>
          <w:p>
            <w:pPr>
              <w:jc w:val="right"/>
            </w:pPr>
            <w:r>
              <w:rPr>
                <w:rFonts w:ascii="Times New Roman" w:hAnsi="Times New Roman"/>
                <w:sz w:val="24"/>
              </w:rPr>
              <w:t>82 807,30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Затраты на хостинг</w:t>
            </w:r>
          </w:p>
        </w:tc>
        <w:tc>
          <w:tcPr>
            <w:tcW w:type="dxa" w:w="4677"/>
          </w:tcPr>
          <w:p>
            <w:pPr>
              <w:jc w:val="right"/>
            </w:pPr>
            <w:r>
              <w:rPr>
                <w:rFonts w:ascii="Times New Roman" w:hAnsi="Times New Roman"/>
                <w:sz w:val="24"/>
              </w:rPr>
              <w:t>3 000,00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Затраты на лицензии</w:t>
            </w:r>
          </w:p>
        </w:tc>
        <w:tc>
          <w:tcPr>
            <w:tcW w:type="dxa" w:w="4677"/>
          </w:tcPr>
          <w:p>
            <w:pPr>
              <w:jc w:val="right"/>
            </w:pPr>
            <w:r>
              <w:rPr>
                <w:rFonts w:ascii="Times New Roman" w:hAnsi="Times New Roman"/>
                <w:sz w:val="24"/>
              </w:rPr>
              <w:t>500,00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Затраты на рекламу и продвижение</w:t>
            </w:r>
          </w:p>
        </w:tc>
        <w:tc>
          <w:tcPr>
            <w:tcW w:type="dxa" w:w="4677"/>
          </w:tcPr>
          <w:p>
            <w:pPr>
              <w:jc w:val="right"/>
            </w:pPr>
            <w:r>
              <w:rPr>
                <w:rFonts w:ascii="Times New Roman" w:hAnsi="Times New Roman"/>
                <w:sz w:val="24"/>
              </w:rPr>
              <w:t>10 000,00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 полная себестоимость</w:t>
            </w:r>
          </w:p>
        </w:tc>
        <w:tc>
          <w:tcPr>
            <w:tcW w:type="dxa" w:w="4677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379 072,96</w:t>
            </w:r>
          </w:p>
        </w:tc>
      </w:tr>
    </w:tbl>
    <w:p>
      <w:r>
        <w:rPr>
          <w:rFonts w:ascii="Times New Roman" w:hAnsi="Times New Roman"/>
          <w:sz w:val="28"/>
        </w:rPr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Полученные результаты расчета себестоимости программного продукта представлены на диаграмме «Статьи расхода предприятия» (см. рисунок 3).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[pic]</w:t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3 – Статьи расхода предприятия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8"/>
        </w:rPr>
        <w:t>3.3.2. Сводные экономические показатели и выводы по проделанной работе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Для расчета экономического эффекта получаемого за счёт увеличения числа обучающихся по формуле (9) необходимы следующие данные: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Q1 – фактическое количество обучающихся;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Q2 - предполагаемый рост количества обучающихся, %;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A – средний доход с одного обучающегося;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E – дополнительные обучающиеся.</w:t>
      </w:r>
    </w:p>
    <w:p>
      <w:pPr>
        <w:jc w:val="right"/>
      </w:pPr>
      <w:r>
        <w:rPr>
          <w:rFonts w:ascii="Times New Roman" w:hAnsi="Times New Roman"/>
          <w:sz w:val="28"/>
        </w:rPr>
        <w:t>Е= Q1*Q2                                          (9)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Е=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Для расчета дополнительного дохода (AI) используется формула (10):</w:t>
      </w:r>
    </w:p>
    <w:p>
      <w:pPr>
        <w:jc w:val="right"/>
      </w:pPr>
      <w:r>
        <w:rPr>
          <w:rFonts w:ascii="Times New Roman" w:hAnsi="Times New Roman"/>
          <w:sz w:val="28"/>
        </w:rPr>
        <w:t>AI = E*A                                          (10)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AI =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Расчет времени, за которое окупится программный продукт (11):</w:t>
      </w:r>
    </w:p>
    <w:p>
      <w:pPr>
        <w:jc w:val="right"/>
      </w:pPr>
      <w:r>
        <w:rPr>
          <w:rFonts w:ascii="Times New Roman" w:hAnsi="Times New Roman"/>
          <w:sz w:val="28"/>
        </w:rPr>
        <w:t>Ток = Зитог / AI                                  (11)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Ток =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Зитог - общая сумма денежных средств, потраченных на его разработку, внедрение и адаптацию составляет ххх.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AI - ожидаемый экономический эффект от внедрения Интернет-сайта продукта равно ххх и время, за которое окупится программный продукт Ток период.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32"/>
        </w:rPr>
        <w:t>Заключение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В результате разработку и внедрение данного программного продукта следует считать целесообразным и обоснованным с экономической точки зрения.</w:t>
      </w:r>
    </w:p>
    <w:p>
      <w:pPr>
        <w:ind w:firstLine="709"/>
        <w:jc w:val="both"/>
      </w:pPr>
      <w:r>
        <w:rPr>
          <w:rFonts w:ascii="Times New Roman" w:hAnsi="Times New Roman"/>
          <w:sz w:val="28"/>
        </w:rPr>
        <w:t>Учитывая полезность и эффективность данного программного продукта, можно сказать, что образовательная платформа «CodePath», внедрённая в эксплуатацию, обеспечит более весомые результаты при решении поставленных задач обучения программированию, что повлечет за собой экономию времени и затрат труда. Расчеты показали, что стоимость программного продукта составила ХХХ руб., срок окупаемости ХХХ.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32"/>
        </w:rPr>
        <w:t>Список используемой литературы</w:t>
      </w:r>
    </w:p>
    <w:p>
      <w:pPr>
        <w:ind w:left="567" w:firstLine="0"/>
      </w:pPr>
      <w:r>
        <w:rPr>
          <w:rFonts w:ascii="Times New Roman" w:hAnsi="Times New Roman"/>
          <w:sz w:val="28"/>
        </w:rPr>
        <w:t>1. ГОСТ 19.102-77 ЕСПД. Стадии разработки.</w:t>
      </w:r>
    </w:p>
    <w:p>
      <w:pPr>
        <w:ind w:left="567" w:firstLine="0"/>
      </w:pPr>
      <w:r>
        <w:rPr>
          <w:rFonts w:ascii="Times New Roman" w:hAnsi="Times New Roman"/>
          <w:sz w:val="28"/>
        </w:rPr>
        <w:t>2. ГОСТ 19.105-78 ЕСПД. Общие требования к программным документам.</w:t>
      </w:r>
    </w:p>
    <w:p>
      <w:pPr>
        <w:ind w:left="567" w:firstLine="0"/>
      </w:pPr>
      <w:r>
        <w:rPr>
          <w:rFonts w:ascii="Times New Roman" w:hAnsi="Times New Roman"/>
          <w:sz w:val="28"/>
        </w:rPr>
        <w:t>3. ГОСТ 19.106-79. Единая система программной документации. Программа и методика испытаний. Требования к содержанию и оформлению.</w:t>
      </w:r>
    </w:p>
    <w:p>
      <w:pPr>
        <w:ind w:left="567" w:firstLine="0"/>
      </w:pPr>
      <w:r>
        <w:rPr>
          <w:rFonts w:ascii="Times New Roman" w:hAnsi="Times New Roman"/>
          <w:sz w:val="28"/>
        </w:rPr>
        <w:t>4. ГОСТ 19.201-78 ЕСПД. Техническое задание. Требования к содержанию и оформлению.</w:t>
      </w:r>
    </w:p>
    <w:p>
      <w:pPr>
        <w:ind w:left="567" w:firstLine="0"/>
      </w:pPr>
      <w:r>
        <w:rPr>
          <w:rFonts w:ascii="Times New Roman" w:hAnsi="Times New Roman"/>
          <w:sz w:val="28"/>
        </w:rPr>
        <w:t>5. ГОСТ 19.701-90 ЕСПД. Схемы алгоритмов, программ, данных и систем. Условные обозначения и правила выполнения.</w:t>
      </w:r>
    </w:p>
    <w:p>
      <w:pPr>
        <w:ind w:left="567" w:firstLine="0"/>
      </w:pPr>
      <w:r>
        <w:rPr>
          <w:rFonts w:ascii="Times New Roman" w:hAnsi="Times New Roman"/>
          <w:sz w:val="28"/>
        </w:rPr>
        <w:t>6. Руководство пользователя РД 50-34.698-90.</w:t>
      </w:r>
    </w:p>
    <w:p>
      <w:pPr>
        <w:ind w:left="567" w:firstLine="0"/>
      </w:pPr>
      <w:r>
        <w:rPr>
          <w:rFonts w:ascii="Times New Roman" w:hAnsi="Times New Roman"/>
          <w:sz w:val="28"/>
        </w:rPr>
        <w:t>7. Коваль Т.Б. Методические рекомендации выполнения и защиты дипломного проекта для студентов специальности 09.02.07 Информационные системы и программирование. Учебное электронное пособие / Т.Б. Коваль – г. Москва: частное профессиональное образовательное учреждение «Московский городской открытый колледж», 2025. – 25 с.</w:t>
      </w:r>
    </w:p>
    <w:p>
      <w:pPr>
        <w:ind w:left="567" w:firstLine="0"/>
      </w:pPr>
      <w:r>
        <w:rPr>
          <w:rFonts w:ascii="Times New Roman" w:hAnsi="Times New Roman"/>
          <w:sz w:val="28"/>
        </w:rPr>
        <w:t>8. React – The library for web and native user interfaces [Электронный ресурс]. – Режим доступа: https://react.dev/</w:t>
      </w:r>
    </w:p>
    <w:p>
      <w:pPr>
        <w:ind w:left="567" w:firstLine="0"/>
      </w:pPr>
      <w:r>
        <w:rPr>
          <w:rFonts w:ascii="Times New Roman" w:hAnsi="Times New Roman"/>
          <w:sz w:val="28"/>
        </w:rPr>
        <w:t>9. Vite – Next Generation Frontend Tooling [Электронный ресурс]. – Режим доступа: https://vitejs.dev/</w:t>
      </w:r>
    </w:p>
    <w:p>
      <w:pPr>
        <w:ind w:left="567" w:firstLine="0"/>
      </w:pPr>
      <w:r>
        <w:rPr>
          <w:rFonts w:ascii="Times New Roman" w:hAnsi="Times New Roman"/>
          <w:sz w:val="28"/>
        </w:rPr>
        <w:t>10. Tailwind CSS – A utility-first CSS framework [Электронный ресурс]. – Режим доступа: https://tailwindcss.com/</w:t>
      </w:r>
    </w:p>
    <w:p>
      <w:pPr>
        <w:ind w:left="567" w:firstLine="0"/>
      </w:pPr>
      <w:r>
        <w:rPr>
          <w:rFonts w:ascii="Times New Roman" w:hAnsi="Times New Roman"/>
          <w:sz w:val="28"/>
        </w:rPr>
        <w:t>11. Express – Fast, unopinionated, minimalist web framework for Node.js [Электронный ресурс]. – Режим доступа: https://expressjs.com/</w:t>
      </w:r>
    </w:p>
    <w:p>
      <w:pPr>
        <w:ind w:left="567" w:firstLine="0"/>
      </w:pPr>
      <w:r>
        <w:rPr>
          <w:rFonts w:ascii="Times New Roman" w:hAnsi="Times New Roman"/>
          <w:sz w:val="28"/>
        </w:rPr>
        <w:t>12. PostgreSQL – The World's Most Advanced Open Source Relational Database [Электронный ресурс]. – Режим доступа: https://www.postgresql.org/</w:t>
      </w:r>
    </w:p>
    <w:p>
      <w:pPr>
        <w:ind w:left="567" w:firstLine="0"/>
      </w:pPr>
      <w:r>
        <w:rPr>
          <w:rFonts w:ascii="Times New Roman" w:hAnsi="Times New Roman"/>
          <w:sz w:val="28"/>
        </w:rPr>
        <w:t>13. Drizzle ORM – TypeScript ORM for SQL databases [Электронный ресурс]. – Режим доступа: https://orm.drizzle.team/</w:t>
      </w:r>
    </w:p>
    <w:p>
      <w:pPr>
        <w:ind w:left="567" w:firstLine="0"/>
      </w:pPr>
      <w:r>
        <w:rPr>
          <w:rFonts w:ascii="Times New Roman" w:hAnsi="Times New Roman"/>
          <w:sz w:val="28"/>
        </w:rPr>
        <w:t>14. Monaco Editor – The Code Editor that Powers VS Code [Электронный ресурс]. – Режим доступа: https://microsoft.github.io/monaco-editor/</w:t>
      </w:r>
    </w:p>
    <w:p>
      <w:pPr>
        <w:ind w:left="567" w:firstLine="0"/>
      </w:pPr>
      <w:r>
        <w:rPr>
          <w:rFonts w:ascii="Times New Roman" w:hAnsi="Times New Roman"/>
          <w:sz w:val="28"/>
        </w:rPr>
        <w:t>15. TypeScript – JavaScript with syntax for types [Электронный ресурс]. – Режим доступа: https://www.typescriptlang.org/</w:t>
      </w:r>
    </w:p>
    <w:sectPr w:rsidR="00FC693F" w:rsidRPr="0006063C" w:rsidSect="00034616">
      <w:footerReference w:type="default" r:id="rId9"/>
      <w:pgSz w:w="11906" w:h="16838"/>
      <w:pgMar w:top="850" w:right="850" w:bottom="1417" w:left="1701" w:header="720" w:footer="720" w:gutter="0"/>
      <w:cols w:space="720"/>
      <w:docGrid w:linePitch="360"/>
      <w:pgBorders w:offsetFrom="page">
        <w:top w:val="single" w:sz="6" w:space="25" w:color="000000"/>
        <w:left w:val="single" w:sz="12" w:space="55" w:color="000000"/>
        <w:bottom w:val="single" w:sz="6" w:space="25" w:color="000000"/>
        <w:right w:val="single" w:sz="6" w:space="25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Grid>
      <w:gridCol w:w="1559"/>
      <w:gridCol w:w="1559"/>
      <w:gridCol w:w="1559"/>
      <w:gridCol w:w="1559"/>
      <w:gridCol w:w="1559"/>
      <w:gridCol w:w="1559"/>
    </w:tblGrid>
    <w:tr>
      <w:tc>
        <w:tcPr>
          <w:tcW w:type="dxa" w:w="680"/>
          <w:vAlign w:val="center"/>
        </w:tcPr>
        <w:p>
          <w:pPr>
            <w:jc w:val="center"/>
          </w:pPr>
          <w:r>
            <w:rPr>
              <w:rFonts w:ascii="Times New Roman" w:hAnsi="Times New Roman"/>
              <w:sz w:val="16"/>
            </w:rPr>
            <w:t>Изм.</w:t>
          </w:r>
        </w:p>
      </w:tc>
      <w:tc>
        <w:tcPr>
          <w:tcW w:type="dxa" w:w="850"/>
          <w:vAlign w:val="center"/>
        </w:tcPr>
        <w:p>
          <w:pPr>
            <w:jc w:val="center"/>
          </w:pPr>
          <w:r>
            <w:rPr>
              <w:rFonts w:ascii="Times New Roman" w:hAnsi="Times New Roman"/>
              <w:sz w:val="16"/>
            </w:rPr>
            <w:t>Лист</w:t>
          </w:r>
        </w:p>
      </w:tc>
      <w:tc>
        <w:tcPr>
          <w:tcW w:type="dxa" w:w="1134"/>
          <w:vAlign w:val="center"/>
        </w:tcPr>
        <w:p>
          <w:pPr>
            <w:jc w:val="center"/>
          </w:pPr>
          <w:r>
            <w:rPr>
              <w:rFonts w:ascii="Times New Roman" w:hAnsi="Times New Roman"/>
              <w:sz w:val="16"/>
            </w:rPr>
            <w:t>№ докум.</w:t>
          </w:r>
        </w:p>
      </w:tc>
      <w:tc>
        <w:tcPr>
          <w:tcW w:type="dxa" w:w="850"/>
          <w:vAlign w:val="center"/>
        </w:tcPr>
        <w:p>
          <w:pPr>
            <w:jc w:val="center"/>
          </w:pPr>
          <w:r>
            <w:rPr>
              <w:rFonts w:ascii="Times New Roman" w:hAnsi="Times New Roman"/>
              <w:sz w:val="16"/>
            </w:rPr>
            <w:t>Подпись</w:t>
          </w:r>
        </w:p>
      </w:tc>
      <w:tc>
        <w:tcPr>
          <w:tcW w:type="dxa" w:w="850"/>
          <w:vAlign w:val="center"/>
        </w:tcPr>
        <w:p>
          <w:pPr>
            <w:jc w:val="center"/>
          </w:pPr>
          <w:r>
            <w:rPr>
              <w:rFonts w:ascii="Times New Roman" w:hAnsi="Times New Roman"/>
              <w:sz w:val="16"/>
            </w:rPr>
            <w:t>Дата</w:t>
          </w:r>
        </w:p>
      </w:tc>
      <w:tc>
        <w:tcPr>
          <w:tcW w:type="dxa" w:w="4989"/>
          <w:vAlign w:val="center"/>
        </w:tcPr>
        <w:p>
          <w:pPr>
            <w:jc w:val="center"/>
          </w:pPr>
          <w:r>
            <w:rPr>
              <w:rFonts w:ascii="Times New Roman" w:hAnsi="Times New Roman"/>
              <w:sz w:val="16"/>
            </w:rPr>
            <w:t>ВТ-416-01-25-ПЗ</w:t>
          </w:r>
        </w:p>
      </w:tc>
    </w:tr>
    <w:tr>
      <w:tc>
        <w:tcPr>
          <w:tcW w:type="dxa" w:w="4364"/>
          <w:gridSpan w:val="5"/>
          <w:vAlign w:val="center"/>
        </w:tcPr>
        <w:p>
          <w:pPr>
            <w:jc w:val="center"/>
          </w:pPr>
        </w:p>
      </w:tc>
      <w:tc>
        <w:tcPr>
          <w:tcW w:type="dxa" w:w="4989"/>
          <w:vAlign w:val="center"/>
        </w:tcPr>
        <w:p>
          <w:pPr>
            <w:jc w:val="center"/>
          </w:pPr>
          <w:r>
            <w:rPr>
              <w:rFonts w:ascii="Times New Roman" w:hAnsi="Times New Roman"/>
              <w:sz w:val="16"/>
            </w:rPr>
            <w:t>Лист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eastAsia="Times New Roman"/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