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r>
        <w:rPr>
          <w:rFonts w:ascii="Times New Roman" w:hAnsi="Times New Roman"/>
          <w:sz w:val="28"/>
        </w:rPr>
        <w:t>Введение</w:t>
      </w:r>
      <w:r>
        <w:tab/>
      </w:r>
      <w:r>
        <w:rPr>
          <w:rFonts w:ascii="Times New Roman" w:hAnsi="Times New Roman"/>
          <w:sz w:val="28"/>
        </w:rPr>
        <w:t>5</w:t>
      </w:r>
    </w:p>
    <w:p>
      <w:r>
        <w:rPr>
          <w:rFonts w:ascii="Times New Roman" w:hAnsi="Times New Roman"/>
          <w:sz w:val="28"/>
        </w:rPr>
        <w:t>Раздел 1. Анализ предметной области</w:t>
      </w:r>
      <w:r>
        <w:tab/>
      </w:r>
      <w:r>
        <w:rPr>
          <w:rFonts w:ascii="Times New Roman" w:hAnsi="Times New Roman"/>
          <w:sz w:val="28"/>
        </w:rPr>
        <w:t>6</w:t>
      </w:r>
    </w:p>
    <w:p>
      <w:r>
        <w:rPr>
          <w:rFonts w:ascii="Times New Roman" w:hAnsi="Times New Roman"/>
          <w:sz w:val="28"/>
        </w:rPr>
        <w:t>1.1. Сбор данных</w:t>
      </w:r>
      <w:r>
        <w:tab/>
      </w:r>
      <w:r>
        <w:rPr>
          <w:rFonts w:ascii="Times New Roman" w:hAnsi="Times New Roman"/>
          <w:sz w:val="28"/>
        </w:rPr>
        <w:t>6</w:t>
      </w:r>
    </w:p>
    <w:p>
      <w:r>
        <w:rPr>
          <w:rFonts w:ascii="Times New Roman" w:hAnsi="Times New Roman"/>
          <w:sz w:val="28"/>
        </w:rPr>
        <w:t>1.2. Обоснование необходимости создания автоматизированной системы</w:t>
      </w:r>
      <w:r>
        <w:tab/>
      </w:r>
      <w:r>
        <w:rPr>
          <w:rFonts w:ascii="Times New Roman" w:hAnsi="Times New Roman"/>
          <w:sz w:val="28"/>
        </w:rPr>
        <w:t>6</w:t>
      </w:r>
    </w:p>
    <w:p>
      <w:r>
        <w:rPr>
          <w:rFonts w:ascii="Times New Roman" w:hAnsi="Times New Roman"/>
          <w:sz w:val="28"/>
        </w:rPr>
        <w:t>1.3. Предлагаемое решение</w:t>
      </w:r>
      <w:r>
        <w:tab/>
      </w:r>
      <w:r>
        <w:rPr>
          <w:rFonts w:ascii="Times New Roman" w:hAnsi="Times New Roman"/>
          <w:sz w:val="28"/>
        </w:rPr>
        <w:t>6</w:t>
      </w:r>
    </w:p>
    <w:p>
      <w:r>
        <w:rPr>
          <w:rFonts w:ascii="Times New Roman" w:hAnsi="Times New Roman"/>
          <w:sz w:val="28"/>
        </w:rPr>
        <w:t>Раздел 2. Технология разработки программного продукта заказчика</w:t>
      </w:r>
      <w:r>
        <w:tab/>
      </w:r>
      <w:r>
        <w:rPr>
          <w:rFonts w:ascii="Times New Roman" w:hAnsi="Times New Roman"/>
          <w:sz w:val="28"/>
        </w:rPr>
        <w:t>7</w:t>
      </w:r>
    </w:p>
    <w:p>
      <w:r>
        <w:rPr>
          <w:rFonts w:ascii="Times New Roman" w:hAnsi="Times New Roman"/>
          <w:sz w:val="28"/>
        </w:rPr>
        <w:t>2.1. Описание разработки программного изделия</w:t>
      </w:r>
      <w:r>
        <w:tab/>
      </w:r>
      <w:r>
        <w:rPr>
          <w:rFonts w:ascii="Times New Roman" w:hAnsi="Times New Roman"/>
          <w:sz w:val="28"/>
        </w:rPr>
        <w:t>7</w:t>
      </w:r>
    </w:p>
    <w:p>
      <w:r>
        <w:rPr>
          <w:rFonts w:ascii="Times New Roman" w:hAnsi="Times New Roman"/>
          <w:sz w:val="28"/>
        </w:rPr>
        <w:t>2.2. Описание программного продукта</w:t>
      </w:r>
      <w:r>
        <w:tab/>
      </w:r>
      <w:r>
        <w:rPr>
          <w:rFonts w:ascii="Times New Roman" w:hAnsi="Times New Roman"/>
          <w:sz w:val="28"/>
        </w:rPr>
        <w:t>7</w:t>
      </w:r>
    </w:p>
    <w:p>
      <w:pPr>
        <w:ind w:left="567"/>
      </w:pPr>
      <w:r>
        <w:rPr>
          <w:rFonts w:ascii="Times New Roman" w:hAnsi="Times New Roman"/>
          <w:sz w:val="28"/>
        </w:rPr>
        <w:t>2.2.1. Выбор среды программирования</w:t>
      </w:r>
      <w:r>
        <w:tab/>
      </w:r>
      <w:r>
        <w:rPr>
          <w:rFonts w:ascii="Times New Roman" w:hAnsi="Times New Roman"/>
          <w:sz w:val="28"/>
        </w:rPr>
        <w:t>7</w:t>
      </w:r>
    </w:p>
    <w:p>
      <w:pPr>
        <w:ind w:left="567"/>
      </w:pPr>
      <w:r>
        <w:rPr>
          <w:rFonts w:ascii="Times New Roman" w:hAnsi="Times New Roman"/>
          <w:sz w:val="28"/>
        </w:rPr>
        <w:t>2.2.2. Структура информационной системы проекта</w:t>
      </w:r>
      <w:r>
        <w:tab/>
      </w:r>
      <w:r>
        <w:rPr>
          <w:rFonts w:ascii="Times New Roman" w:hAnsi="Times New Roman"/>
          <w:sz w:val="28"/>
        </w:rPr>
        <w:t>8</w:t>
      </w:r>
    </w:p>
    <w:p>
      <w:r>
        <w:rPr>
          <w:rFonts w:ascii="Times New Roman" w:hAnsi="Times New Roman"/>
          <w:sz w:val="28"/>
        </w:rPr>
        <w:t>Раздел 3. Организация работ по внедрению программного продукта</w:t>
      </w:r>
      <w:r>
        <w:tab/>
      </w:r>
      <w:r>
        <w:rPr>
          <w:rFonts w:ascii="Times New Roman" w:hAnsi="Times New Roman"/>
          <w:sz w:val="28"/>
        </w:rPr>
        <w:t>9</w:t>
      </w:r>
    </w:p>
    <w:p>
      <w:r>
        <w:rPr>
          <w:rFonts w:ascii="Times New Roman" w:hAnsi="Times New Roman"/>
          <w:sz w:val="28"/>
        </w:rPr>
        <w:t>3.1. Установка и настройка компонентов программного продукта</w:t>
      </w:r>
      <w:r>
        <w:tab/>
      </w:r>
      <w:r>
        <w:rPr>
          <w:rFonts w:ascii="Times New Roman" w:hAnsi="Times New Roman"/>
          <w:sz w:val="28"/>
        </w:rPr>
        <w:t>9</w:t>
      </w:r>
    </w:p>
    <w:p>
      <w:r>
        <w:rPr>
          <w:rFonts w:ascii="Times New Roman" w:hAnsi="Times New Roman"/>
          <w:sz w:val="28"/>
        </w:rPr>
        <w:t>3.2. Тестирование компонентов программного продукта</w:t>
      </w:r>
      <w:r>
        <w:tab/>
      </w:r>
      <w:r>
        <w:rPr>
          <w:rFonts w:ascii="Times New Roman" w:hAnsi="Times New Roman"/>
          <w:sz w:val="28"/>
        </w:rPr>
        <w:t>9</w:t>
      </w:r>
    </w:p>
    <w:p>
      <w:r>
        <w:rPr>
          <w:rFonts w:ascii="Times New Roman" w:hAnsi="Times New Roman"/>
          <w:sz w:val="28"/>
        </w:rPr>
        <w:t>3.3. Расчет технико-экономических показателей</w:t>
      </w:r>
      <w:r>
        <w:tab/>
      </w:r>
      <w:r>
        <w:rPr>
          <w:rFonts w:ascii="Times New Roman" w:hAnsi="Times New Roman"/>
          <w:sz w:val="28"/>
        </w:rPr>
        <w:t>9</w:t>
      </w:r>
    </w:p>
    <w:p>
      <w:r>
        <w:rPr>
          <w:rFonts w:ascii="Times New Roman" w:hAnsi="Times New Roman"/>
          <w:sz w:val="28"/>
        </w:rPr>
        <w:t>Заключение</w:t>
      </w:r>
      <w:r>
        <w:tab/>
      </w:r>
      <w:r>
        <w:rPr>
          <w:rFonts w:ascii="Times New Roman" w:hAnsi="Times New Roman"/>
          <w:sz w:val="28"/>
        </w:rPr>
        <w:t>15</w:t>
      </w:r>
    </w:p>
    <w:p>
      <w:r>
        <w:rPr>
          <w:rFonts w:ascii="Times New Roman" w:hAnsi="Times New Roman"/>
          <w:sz w:val="28"/>
        </w:rPr>
        <w:t>Список используемой литературы</w:t>
      </w:r>
      <w:r>
        <w:tab/>
      </w:r>
      <w:r>
        <w:rPr>
          <w:rFonts w:ascii="Times New Roman" w:hAnsi="Times New Roman"/>
          <w:sz w:val="28"/>
        </w:rPr>
        <w:t>16</w:t>
      </w:r>
    </w:p>
    <w:p>
      <w:pPr>
        <w:ind w:left="850"/>
      </w:pPr>
      <w:r>
        <w:rPr>
          <w:rFonts w:ascii="Times New Roman" w:hAnsi="Times New Roman"/>
          <w:sz w:val="28"/>
        </w:rPr>
        <w:t>Приложение 1. Эскизный проект</w:t>
      </w:r>
    </w:p>
    <w:p>
      <w:pPr>
        <w:ind w:left="850"/>
      </w:pPr>
      <w:r>
        <w:rPr>
          <w:rFonts w:ascii="Times New Roman" w:hAnsi="Times New Roman"/>
          <w:sz w:val="28"/>
        </w:rPr>
        <w:t>Приложение 2. Рабочий проект</w:t>
      </w:r>
    </w:p>
    <w:p>
      <w:pPr>
        <w:ind w:left="850"/>
      </w:pPr>
      <w:r>
        <w:rPr>
          <w:rFonts w:ascii="Times New Roman" w:hAnsi="Times New Roman"/>
          <w:sz w:val="28"/>
        </w:rPr>
        <w:t>Приложение 3. Руководство пользователя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Введение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На текущем этапе развития цифровых технологий и массового внедрения высокоскоростного интернета индустрия онлайн-образования демонстрирует непрерывное и беспримерное развитие, превратившись в настоящее глобальное социокультурное явление. Стремительная эволюция интерактивных образовательных платформ ярко продемонстрировала формирование многочисленных и различных обучающих сообществ, которые стали центрами обмена знаниями, совместного обучения и профессионального развития. В то же время в этих сообществах потребность в едином, структурированном и функциональном цифровом пространстве для изучения программирования часто не может быть адекватно удовлетворена существующими массовыми площадками. Развитие современных веб-фреймворков, облачных сервисов и гибких баз данных обеспечивает технологическую базу для создания специализированных образовательных платформ, которые могут стать полноценными «цифровыми хабами» для начинающих и опытных программистов, консолидируя учебный контент, практику и отслеживание прогресса.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Занятие разработкой интерактивной образовательной платформы для изучения программирования относится к области веб-инженерии, проектирования образовательных IT-платформ и человеко-компьютерному взаимодействию (HCI). Применение вычислительных средств и программного обеспечения в этой области направлено на решение насущных проблем организации образовательного процесса: обеспечение качественного структурирования и хранения учебного контента (теоретических материалов, практических заданий, тестов), поддержка интерактивного выполнения кода в реальном времени, а также внедрение инструментов геймификации и отслеживания прогресса обучения. Перспективы развития плотно завязаны на интеграцию искусственного интеллекта для персонализированных рекомендаций по обучению, адаптивную сложность заданий на основе уровня подготовки пользователя и построение сложных систем мотивации. Решаемая задача напрямую завязана на проблемы образовательной индустрии, поскольку отсутствие качественной интерактивной платформы приводит к низкой вовлеченности обучающихся, потере мотивации, фрагментации учебных материалов и усложнению процесса самостоятельного обучения.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На рынке уже существует ряд программных решений и онлайн-платформ, которые активно используются для изучения программирования. Среди наиболее распространённых можно выделить такие сервисы, как Codecademy, freeCodeCamp, LeetCode, а также классические MOOC-платформы на базе Coursera или Stepik. Эти платформы предоставляют пользователям базовый функционал для обучения: текстовые и видеоуроки, создание тематических курсов, систему проверки заданий и возможность отслеживания прогресса. Они стали де-факто стандартом для самостоятельного изучения программирования.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Однако эти решения обладают рядом существенных недостатков, которые обуславливают актуальность создания специализированной образовательной платформы: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фрагментация информации и отсутствие структуры. Платформы вроде freeCodeCamp предоставляют обширный материал, но навигация по курсам зачастую неудобна, а важные концепции могут теряться среди множества разрозненных уроков, что приводит к трудностям в выстраивании последовательного пути обучения;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перегруженность и отвлекающие факторы. Крупные платформы, такие как Coursera или Udemy, перегружены рекламой, алгоритмической лентой, контентом из других областей и избыточными функциями, что отвлекает пользователя от конкретных целей изучения программирования и усложняет навигацию;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устаревший или неадаптивный интерфейс. Многие образовательные платформы обладают интерфейсом, который морально и визуально устарел, не соответствует современным стандартам UX/UI и зачастую плохо адаптируется для мобильных устройств, что снижает вовлеченность аудитории;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отсутствие интерактивного выполнения кода. Существующие решения, как правило, либо не предоставляют встроенную среду выполнения кода, либо реализуют её с серьёзными ограничениями: невозможность тестирования решений в реальном времени, отсутствие автоматической проверки с тест-кейсами, невозможность работы с несколькими языками программирования;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слабая система мотивации. Управление мотивацией на этих платформах ограничено простыми счётчиками пройденных уроков без комплексной геймификации: очков опыта, уровней, серий обучения, достижений и таблиц лидеров;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платный доступ к ключевому контенту. Зависимость от подписочной модели означает, что значительная часть учебных материалов и практических заданий закрыта за платной стеной, что создаёт барьер для начинающих программистов.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Актуальность разработки собственной интерактивной образовательной платформы для изучения программирования заключается в возможности создания целостной, управляемой и современной цифровой среды, которая устраняет указанные недостатки. Преимуществами создаваемого программного продукта являются: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единое структурированное пространство. Объединение теоретических уроков, интерактивных квизов, практических заданий с выполнением кода и системы отслеживания прогресса в рамках одной платформы, где информация имеет четкую иерархию и последовательный путь обучения;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современный и адаптивный пользовательский интерфейс. Разработка с использованием актуальных фреймворков обеспечит высокую скорость работы, интуитивную навигацию и безупречное отображение на всех типах устройств, включая мобильные;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встроенная среда выполнения кода. Комплексная система с редактором кода, автоматической проверкой решений через тест-кейсы и поддержкой множества языков программирования (Python, JavaScript, HTML, CSS, SQL, C++, Java), позволяющая практиковаться прямо в браузере;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комплексная система геймификации. Мотивация пользователей через систему очков опыта (XP), уровней, серий обучения (streak), достижений (бейджей) и глобальной таблицы лидеров;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контроль над данными и независимость. Развертывание платформы на собственной инфраструктуре гарантирует полный контроль над контентом, дизайном, функционалом и долгосрочную стабильность работы, независимо от политики внешних платформ.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Таким образом, разработка специализированной интерактивной образовательной платформы направлена на создание оптимальной цифровой экосистемы для изучения программирования, предлагая консолидированную альтернативу разрозненным и неспециализированным решениям за счёт комплексного подхода, ориентированного на пользователя и специфику образовательного процесса.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Раздел 1. Анализ предметной области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1.1 Сбор данных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Предметная область — интерактивные образовательные платформы и сервисы для изучения программирования, предназначенные для обмена знаниями, прохождения структурированных курсов, выполнения практических заданий и отслеживания прогресса обучения.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В ходе сбора данных выполнен анализ типовых решений и пользовательских сценариев, характерных для образовательных платформ по программированию. Выделены основные направления деятельности подобных ресурсов: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создание и поддержка структурированных курсов по различным языкам программирования (Python, JavaScript, HTML, CSS, SQL, C++, Java);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предоставление инструментов для интерактивного обучения (встроенный редактор кода, автоматическая проверка решений, мгновенная обратная связь);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организация и каталогизация учебного контента: теоретических уроков, квизов, практических заданий с тест-кейсами;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геймификация учебного процесса: система очков опыта, уровней, достижений и таблиц лидеров.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Заинтересованные лица (стейкхолдеры) в создании проекта следующие: учащиеся, преподаватели-авторы контента, администраторы: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учащиеся — основная аудитория платформы: как новички, делающие первые шаги в программировании и ищущие структурированный путь обучения, так и опытные разработчики, желающие освоить новый язык или закрепить имеющиеся навыки;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преподаватели-авторы контента — уполномоченные представители, создающие курсы, модули и уроки. Занимаются разработкой теоретических материалов, формулированием вопросов квизов и практических заданий с тест-кейсами;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системный администратор — технический специалист, обеспечивающий работоспособность серверной инфраструктуры, безопасность, управление пользователями, контролем контента и правами доступа для других ролей.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К функциям стейкхолдеров относятся: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учащиеся выполняют регистрацию и ведение личного профиля (заполнение имени, выбор аватара), просмотр каталога доступных курсов, запись на курсы, прохождение теоретических уроков с чтением материалов, выполнение квизов с немедленной обратной связью и объяснениями ответов, решение практических задач с написанием кода в встроенном редакторе и проверкой через тест-кейсы, отслеживание прогресса (завершённые уроки, заработанные XP, текущий уровень), поддержание серий обучения (streak) и получение достижений, а также участие в глобальной таблице лидеров;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преподаватели-авторы контента выполняют создание курсов с описанием, уровнем сложности и языком программирования, организацию курса в модули и уроки, наполнение теоретических уроков учебным материалом в формате Markdown, формулирование вопросов квизов с вариантами ответов и объяснениями, создание практических заданий с инструкциями, стартовым кодом, подсказками и тест-кейсами;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администратор системы выполняет управление учётными записями и ролями пользователей, настройку прав доступа, создание и управление контентом через административную панель, мониторинг статистики платформы (количество пользователей, курсов, завершённых уроков), поддержку работоспособности информационной системы.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В данной предметной области используются и обрабатываются следующие данные: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пользовательские данные включают параметры учётной записи (уникальный идентификатор, имя пользователя, хэш пароля, адрес электронной почты, дата регистрации), сведения профиля (аватар, отображаемое имя), а также системные параметры (роль на платформе — администратор или пользователь);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данные геймификации включают общее количество заработанных очков опыта (XP), текущий уровень пользователя, информацию о сериях обучения (текущая серия, максимальная серия, дата последней активности), а также полученные достижения (бейджи);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данные курсов и обучения включают структуру курсов (курсы, модули, уроки), описание курсов (название, язык, сложность, количество уроков, расчётное время прохождения, награда в XP), содержание уроков (теоретический текст в Markdown, вопросы квизов с вариантами и правильными ответами, задачи с инструкциями и стартовым кодом), а также тест-кейсы для проверки решений (входные данные, ожидаемый результат);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данные прогресса пользователя включают записи о завершённых уроках (идентификатор пользователя, идентификатор урока, дата завершения, полученные XP), записи о записях на курсы (дата начала, статус завершения, прогресс);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справочные данные включают перечень языков программирования, уровней сложности курсов, типов уроков (теория, квиз, практика), а также каталог достижений с описаниями и иконками.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1.2. Обоснование необходимости создания автоматизированной системы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Основываясь на собранных данных, была создана модель бизнес-процесса, дающая возможность всестороннего анализа. С применением методологии функционального моделирования IDEF0 или BPMN была построена функциональная модель, представляющая собой структуру и функции, а также потоки информации и материальных объектов, связывающие эти функции. Первая диаграмма (контекстная) в иерархии диаграмм IDEF0 всегда изображает функционирование системы в целом.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[pic]</w:t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1 - Общий вид контекстной диаграммы IDEF0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Для того чтобы сформулировать общие требования к функциональному поведению проектируемой системы строится диаграмма использования, на которой изображаются отношения между стейкхолдерами. Данная модель представлена на примере (см. рисунок 2).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[pic]</w:t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2 – диаграмма вариантов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1.3. Предлагаемое решение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Учитывая проведенный анализ предметной области, выявленные недостатки существующих рыночных решений и сформулированные потребности ключевых стейкхолдеров (учащихся, авторов контента и администратора), можно сделать вывод, что для платформы «CodePath» необходимо разработать программный продукт в виде современного, полнофункционального веб-приложения, которое будет решать следующие задачи: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создание централизованной, структурированной и масштабируемой среды для интерактивного изучения программирования. Это подразумевает реализацию иерархической системы курсов с модулями и уроками по семи языкам программирования;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обеспечение эффективной организации и долгосрочного сохранения учебного контента. Для этого необходимы инструменты для создания, каталогизации и управления теоретическими уроками, квизами и практическими заданиями, с удобной системой навигации и отслеживания прогресса;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предоставление встроенной среды выполнения кода с автоматической проверкой решений и мгновенной обратной связью, позволяющей практиковаться прямо в браузере без установки дополнительного программного обеспечения;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внедрение комплексной системы геймификации для поддержания мотивации учащихся, включающей очки опыта, уровни, серии обучения, достижения и глобальную таблицу лидеров.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Раздел 2. Технология разработки программного продукта заказчика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2.1. Описание разработки программного изделия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Разработка программного продукта «CodePath» выполнялась как создание современного интерактивного веб-приложения для изучения программирования, где пользователь получает единое пространство для обучения: прохождение структурированных курсов, выполнение практических заданий, отслеживание прогресса и участие в системе геймификации. С точки зрения предметной области проект относится к образовательным IT-платформам (EdTech), в которых ключевую роль играют качественный учебный контент, интерактивность и мотивация пользователей.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При проектировании была принята клиент-серверная модель: клиентская часть отвечает за страницы и пользовательские сценарии (каталог курсов, прохождение уроков, профиль, таблица лидеров, достижения), а серверная — за API-методы, которые обрабатывают запросы, выполняют проверки, работают с базой данных, выполняют код пользователя и возвращают данные в удобном для интерфейса виде. Для хранения данных используется реляционная БД PostgreSQL, а доступ к данным реализован через Drizzle ORM; на уровне схемы описаны пользователи, курсы, модули, уроки, квизы, задачи, прогресс, геймификация и другие сущности, необходимые для работы платформы.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В ходе разработки система была разделена на логические модули: модуль аутентификации и сессий (регистрация, вход, JWT-токены), модуль профиля и настроек, модуль курсов и уроков (каталог, запись, прохождение), модуль квизов (вопросы, варианты ответов, проверка), модуль практических заданий (редактор кода, выполнение, проверка через тест-кейсы), модуль геймификации (XP, уровни, серии, достижения, таблица лидеров), а также административный модуль (управление контентом и пользователями). Такой подход позволяет изолировать ответственность компонентов и упрощает дальнейшее расширение функционала — например, добавление новых языков программирования, более глубоких аналитических отчётов и персонализированных рекомендаций.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Отдельно в проект заложена система выполнения пользовательского кода через серверный модуль CodeRunner, который поддерживает запуск программ на Python и JavaScript через дочерние процессы (child_process), а также базовую проверку HTML, CSS и SQL через сопоставление с образцом. Для обеспечения безопасности применяются ограничения по времени выполнения и фильтрация потенциально опасных конструкций.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2.1.1. Требования к функциональным характеристикам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Программный продукт «CodePath» должен обеспечивать полный цикл работы пользователя с образовательной платформой, начиная с создания учётной записи и заканчивая прохождением курсов и получением достижений. В части регистрации и входа система должна поддерживать локальную регистрацию по email и паролю с безопасным хранением пароля в виде хэша, а также аутентификацию через JWT-токены для обеспечения безопасности сессий.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После авторизации пользователь должен иметь возможность просматривать личный дашборд с обзором прогресса обучения, текущим уровнем, серией обучения и последними активностями. Каталог курсов должен отображать все доступные курсы с информацией о языке программирования, уровне сложности, количестве уроков, расчётном времени прохождения и награде в XP.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Контентный функционал должен обеспечивать три типа уроков: теоретические уроки с текстовым содержимым в формате Markdown, квизы с множественным выбором, объяснениями ответов и начислением XP за правильные ответы, а также практические задания с встроенным редактором кода (Monaco Editor), автоматической проверкой через тест-кейсы и подсказками.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Система геймификации должна обеспечивать начисление очков опыта (XP) за выполненные уроки, автоматический расчёт уровня пользователя, отслеживание серий ежедневного обучения (streak), присвоение достижений при выполнении определённых условий (первый урок, 5 уроков, 7-дневная серия и т.д.) и глобальную таблицу лидеров с ранжированием по XP.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Административный функционал должен обеспечивать создание и управление курсами, модулями, уроками, вопросами квизов, вариантами ответов, практическими заданиями и тест-кейсами через защищённую административную панель.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2.1.2. Требования к надёжности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Надёжность программного продукта CodePath должна обеспечиваться за счёт предсказуемой обработки ошибок, строгой проверки входных данных и устойчивости к сбоям. На уровне серверной логики все запросы должны проходить валидацию: для операций, связанных с пользовательским контентом, требуется отсеивать пустые значения, проверять корректность связей между объектами (например, при ответах на квизы — соответствие идентификатора вопроса текущему уроку) и возвращать однозначные коды ошибок, чтобы интерфейс мог корректно реагировать на отказ, не приводя систему в неконсистентное состояние. Такая схема уже отражена в обработчиках, где предусмотрены проверки авторизации, существования сущностей и корректности данных с возвратом статусов 400/401/404 и защитной обработкой исключений.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Постоянные данные должны храниться в СУБД PostgreSQL, а доступ к ним выполняться через слой ORM; при эксплуатации необходимо исключать «тихие» сбои соединений и деградацию производительности за счёт ограничения пула подключений и использования защищённого соединения в производственной среде.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Модуль выполнения пользовательского кода должен быть изолирован от основного серверного процесса, иметь ограничение по времени выполнения (таймаут) и фильтрацию потенциально опасных конструкций для предотвращения злоупотреблений.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2.1.3. Требования к составу и параметрам технических средств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Для нормального функционирования программного продукта «CodePath» требуется: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персональный компьютер или мобильное устройство с доступом в Интернет;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современный веб-браузер (Google Chrome 90+, Mozilla Firefox 90+, Safari 14+, Microsoft Edge 90+), поддерживающий стандарты HTML5, CSS3, JavaScript ES2020+;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минимальное разрешение экрана: 375×667 пикселей (адаптивный дизайн обеспечивает корректное отображение на всех устройствах);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рекомендуемая скорость интернет-соединения: от 1 Мбит/с.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Серверная часть требует: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среда выполнения Node.js версии 18+;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СУБД PostgreSQL версии 16+;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оперативная память: не менее 512 МБ;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наличие установленных интерпретаторов Python 3.11+ и Node.js для модуля выполнения кода.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2.1.4. Требования к информационной и программной совместимости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Программный продукт «CodePath» разработан как веб-приложение и не требует установки дополнительного программного обеспечения на стороне клиента. Клиентская часть реализована как одностраничное приложение (SPA), работающее в любом современном веб-браузере. Серверная часть развёрнута на платформе Replit с использованием автомасштабируемого деплоя и взаимодействует с облачной базой данных PostgreSQL.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2.2. Описание программного продукта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2.2.1. Выбор среды программирования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Для реализации клиентской части веб-приложения «CodePath» был выбран фреймворк React в связке со сборщиком Vite. React является одной из наиболее популярных и зрелых библиотек для построения пользовательских интерфейсов, обеспечивающей компонентную архитектуру, декларативный подход к описанию UI и высокую производительность благодаря виртуальному DOM. Vite используется как инструмент сборки, обеспечивающий мгновенную горячую перезагрузку модулей (HMR) и оптимизированную сборку для производственной среды.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Для стилизации интерфейса применяется Tailwind CSS — утилитарный CSS-фреймворк, позволяющий быстро создавать адаптивные и визуально привлекательные интерфейсы без написания отдельных файлов стилей. В качестве библиотеки UI-компонентов используются примитивы Radix UI, обеспечивающие доступность (WCAG-совместимость), а также Framer Motion для создания плавных анимаций переходов и интерактивных элементов.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Для встроенного редактора кода используется Monaco Editor (тот же редактор, что лежит в основе VS Code), который обеспечивает подсветку синтаксиса, автодополнение и удобное редактирование кода для всех поддерживаемых языков программирования.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Управление состоянием и взаимодействие с серверным API реализовано через TanStack React Query, который обеспечивает эффективное кеширование данных, автоматическую повторную загрузку и синхронизацию состояния клиента с сервером. Маршрутизация реализована через легковесную библиотеку Wouter.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На серверной стороне используется Express (версия 5) — минималистичный и гибкий веб-фреймворк для Node.js, который обеспечивает обработку HTTP-запросов и маршрутизацию API. Весь серверный код написан на TypeScript, что обеспечивает строгую типизацию и раннее обнаружение ошибок на этапе разработки.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Для аутентификации используется система JWT-токенов (JSON Web Tokens), обеспечивающая безопасную работу с сессиями без необходимости хранения состояния на сервере.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В качестве СУБД выбрана PostgreSQL, а доступ к данным реализован через Drizzle ORM. Такой выбор позволяет хранить информацию в реляционном виде и при этом описывать структуру таблиц и связей в типизированном виде на стороне приложения, что удобно для сущностей «пользователь», «курс», «модуль», «урок», «квиз», «задача», «прогресс» и «достижение». Подключение к базе выполняется через строку DATABASE_URL с ограничением числа соединений и с учётом требований рабочего окружения.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2.2.2. Структура информационной системы проекта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Информационная система веб-приложения «CodePath» построена по типовой схеме веб-сервиса и включает пользовательскую часть, серверную часть и слой данных. Пользовательская часть представляет собой набор страниц и компонентов интерфейса, которые отображаются в браузере и обеспечивают выполнение действий пользователя, а серверная часть обрабатывает запросы, выполняет проверки доступа, обращается к базе данных, выполняет пользовательский код и возвращает результаты в виде ответов для интерфейса. В проекте серверные обработчики реализованы как Express-маршруты (роутеры), работающие в Node.js-runtime, и используют JWT-аутентификацию для контроля доступа к операциям, изменяющим данные (запись на курс, отправка решения, отметка о прохождении урока и т.п.).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Слой данных представлен реляционной базой PostgreSQL, где описаны основные сущности и связи проекта. В структуре предусмотрена таблица пользователей (users) с уникальным username, хранением хэша пароля, email и параметрами профиля. Образовательная часть включает таблицы курсов (courses) с метаданными, модулей (modules) для группировки уроков, уроков (lessons) трёх типов (теория, квиз, практика), вопросов квизов (quiz_questions) с вариантами ответов (quiz_options), практических заданий (coding_challenges) с тест-кейсами (test_cases). Геймификационная часть включает таблицы XP (user_xp), серий обучения (user_streaks), достижений (achievements) и полученных достижений пользователей (user_achievements). Прогресс отслеживается через таблицы user_lesson_progress и user_course_enrollments.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Серверная часть логически разделена по функциональным направлениям, что выражается в отдельных Express-роутерах, объединяемых под общим префиксом API. В системе выделяются операции аутентификации (регистрация, вход, получение текущего пользователя), операции работы с курсами (каталог, детали курса, запись), операции прохождения уроков (получение содержимого, отправка ответов на квизы, отправка кода на проверку, отметка о завершении), операции геймификации (получение профиля, списка достижений, таблицы лидеров), а также административные операции (CRUD для всех сущностей контента). Такой подход делает структуру проекта более прозрачной и позволяет развивать функционал без изменения базового принципа работы системы.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Отдельным элементом структуры является модуль выполнения пользовательского кода (CodeRunner). В проекте реализован серверный модуль, принимающий код пользователя и набор тест-кейсов, запускающий код через дочерние процессы (child_process) для Python и JavaScript, а также выполняющий проверку HTML, CSS и SQL через сопоставление с образцом. Результаты выполнения (вывод программы) сравниваются с ожидаемым результатом, и пользователю возвращается информация об успехе или ошибке каждого тест-кейса.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Раздел 3. Организация работ по внедрению программного продукта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3.1. Установка и настройка компонентов программного продукта</w:t>
      </w:r>
    </w:p>
    <w:p>
      <w:r>
        <w:rPr>
          <w:rFonts w:ascii="Times New Roman" w:hAnsi="Times New Roman"/>
          <w:sz w:val="28"/>
        </w:rPr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3.2. Тестирование компонентов программного продукта</w:t>
      </w:r>
    </w:p>
    <w:p>
      <w:r>
        <w:rPr>
          <w:rFonts w:ascii="Times New Roman" w:hAnsi="Times New Roman"/>
          <w:sz w:val="28"/>
        </w:rPr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3.3. Расчет технико-экономических показателей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Целью экономической части является определение затрат на разработку продукта автоматизированной системы «CodePath».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Программный продукт «CodePath» также необходим: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• для автоматизации процесса обучения программированию с интерактивной проверкой решений;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• для организации деятельности, помогающей структурированно подавать учебный материал и отслеживать прогресс учащихся.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При внедрении данного программного продукта в эксплуатацию: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• он упростит процесс самостоятельного изучения программирования, что способствует повышению эффективности обучения.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3.3.1. Технико-экономические расчёты экономической целесообразности разработки программы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В данном подразделе дипломного проекта производится расчет экономической целесообразности и эффективности разрабатываемого продукта Интернет-сайта «CodePath».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Целью данного подраздела является расчет: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себестоимости проекта,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экономической эффективности проекта.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Для подсчета себестоимости проекта и экономической эффективности данного программного продукта, нужны следующие составляющие: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заработная плата разработчика;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программное обеспечение и лицензии;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хостинг и доменное имя;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тестирование и поддержка;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реклама и продвижение сайта;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затраты на энергоресурсы;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амортизационные отчисления.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Таблица 1. Исходные данные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Показатели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Единицы измерения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Страховые взносы (от заработной платы), в том числе: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%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- отчисления в пенсионный фонд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%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22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- отчисления в фонд социального страхования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%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2,9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- отчисления в Федеральный и Территориальный фонд обязательного медицинского страхования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%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5,1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Заработная плата специалиста (разработчик Интернет-сайта)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руб./мес.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100 000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Премия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%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40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Заработная плата специалиста (администратор)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руб./мес.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70 000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Премия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%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Фонд рабочего времени в 2026 году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дней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247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при 40-часовой рабочей неделе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часов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1972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Стоимость компьютера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Руб.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100 000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Срок полезного использования компьютера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лет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Затраты на текущий и профилактический ремонт компьютера (от стоимости компьютера) в год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%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Затраты на материалы, необходимые для эксплуатации компьютера (от стоимости компьютера) в год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%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Потребляемая мощность компьютера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кВт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Тариф на электроэнергию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Руб./кВт-час.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7,87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Затраты на хостинг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руб.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3 000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Затраты на лицензии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руб.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500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Рекламные расходы (регистрация сайта в каталогах, покупка баннеров на других ресурсах, добавление статей в каталоги статей)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руб.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10 000</w:t>
            </w:r>
          </w:p>
        </w:tc>
      </w:tr>
    </w:tbl>
    <w:p>
      <w:r>
        <w:rPr>
          <w:rFonts w:ascii="Times New Roman" w:hAnsi="Times New Roman"/>
          <w:sz w:val="28"/>
        </w:rPr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3.3.2. Расчет затрат на разработку программного продукта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Среднечасовая оплата труда рассчитывается по формуле (1):</w:t>
      </w:r>
    </w:p>
    <w:p>
      <w:pPr>
        <w:jc w:val="right"/>
      </w:pPr>
      <w:r>
        <w:rPr>
          <w:rFonts w:ascii="Times New Roman" w:hAnsi="Times New Roman"/>
          <w:sz w:val="28"/>
        </w:rPr>
        <w:t>ЗПср.час. = О * Кп * 12 / Фрв                    (1)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где О - оклад специалиста по штатному расписанию,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    Кп – процент премии;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    Фрв – фонд рабочего времени в год.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ЗПср.час. = 100 000 * 1.4 * 12/1972 = 851,93 руб./час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Для администратора: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ЗПср.час. = 70 000 *1,2 * 12 / 1972 = 511,16 руб./час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Определение затрат на оплату труда (в случае привлечения разных специалистов определяется отдельно по каждому) производится по формуле (2):</w:t>
      </w:r>
    </w:p>
    <w:p>
      <w:pPr>
        <w:jc w:val="right"/>
      </w:pPr>
      <w:r>
        <w:rPr>
          <w:rFonts w:ascii="Times New Roman" w:hAnsi="Times New Roman"/>
          <w:sz w:val="28"/>
        </w:rPr>
        <w:t>ЗП = ЗПср.час. * Тпр.                              (2)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где: ЗП - это размер затрат на оплату труда привлекаемых специалистов;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    Тпр – трудоемкость разработки программного продукта, час.;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    ЗПср.час – среднечасовая оплата труда, руб./час.;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ЗП = 851,93 * 240 = 204462,47 руб.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Для администратора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ЗП = 511,16 × 140 = 71561,87 руб.</w:t>
      </w:r>
    </w:p>
    <w:p>
      <w:pPr>
        <w:spacing w:before="240" w:after="120"/>
        <w:jc w:val="center"/>
      </w:pPr>
      <w:r>
        <w:rPr>
          <w:rFonts w:ascii="Times New Roman" w:hAnsi="Times New Roman"/>
          <w:b w:val="0"/>
          <w:sz w:val="28"/>
        </w:rPr>
        <w:t>Определение страховых взносов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Расчет страховых взносов принимается в размере 30% от заработной платы (3)</w:t>
      </w:r>
    </w:p>
    <w:p>
      <w:pPr>
        <w:jc w:val="right"/>
      </w:pPr>
      <w:r>
        <w:rPr>
          <w:rFonts w:ascii="Times New Roman" w:hAnsi="Times New Roman"/>
          <w:sz w:val="28"/>
        </w:rPr>
        <w:t>СтрВзн = ЗП * Страх взносы                        (3)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СтрВзн = (204462,47+71561,87) * 0,3=82807,30 руб.</w:t>
      </w:r>
    </w:p>
    <w:p>
      <w:pPr>
        <w:spacing w:before="240" w:after="120"/>
        <w:jc w:val="center"/>
      </w:pPr>
      <w:r>
        <w:rPr>
          <w:rFonts w:ascii="Times New Roman" w:hAnsi="Times New Roman"/>
          <w:b w:val="0"/>
          <w:sz w:val="28"/>
        </w:rPr>
        <w:t>Амортизационные отчисления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Амортизационные отчисления - отчисления части стоимости основных фондов для возмещения их износа. Амортизационные отчисления включаются в издержки производства на основе установленных норм и балансовой стоимости основных фондов и рассчитываются по формуле (4):</w:t>
      </w:r>
    </w:p>
    <w:p>
      <w:pPr>
        <w:jc w:val="right"/>
      </w:pPr>
      <w:r>
        <w:rPr>
          <w:rFonts w:ascii="Times New Roman" w:hAnsi="Times New Roman"/>
          <w:sz w:val="28"/>
        </w:rPr>
        <w:t>АО = Сп *На * Тмаш / Фрв,                        (4)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где Сп – стоимость компьютера, руб.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   На – норма амортизационных отчислений за год, % рассчитывается по формуле (5):</w:t>
      </w:r>
    </w:p>
    <w:p>
      <w:pPr>
        <w:jc w:val="right"/>
      </w:pPr>
      <w:r>
        <w:rPr>
          <w:rFonts w:ascii="Times New Roman" w:hAnsi="Times New Roman"/>
          <w:sz w:val="28"/>
        </w:rPr>
        <w:t>На = 1 / СПИ * 100%,                              (5)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где СПИ – срок полезного использования компьютера, лет;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   Тмаш – машинное время, час;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   Фрв – фонд рабочего времени в год.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На = 1 / 5 *100 =20%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АО = 100 000 * 0,2 * 380 / 1972 = 3 853,96 руб.</w:t>
      </w:r>
    </w:p>
    <w:p>
      <w:pPr>
        <w:spacing w:before="240" w:after="120"/>
        <w:jc w:val="center"/>
      </w:pPr>
      <w:r>
        <w:rPr>
          <w:rFonts w:ascii="Times New Roman" w:hAnsi="Times New Roman"/>
          <w:b w:val="0"/>
          <w:sz w:val="28"/>
        </w:rPr>
        <w:t>Затраты на текущий и профилактический ремонт компьютера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Затраты на текущий и профилактический ремонт компьютера рассчитывается по формуле (6):</w:t>
      </w:r>
    </w:p>
    <w:p>
      <w:pPr>
        <w:jc w:val="right"/>
      </w:pPr>
      <w:r>
        <w:rPr>
          <w:rFonts w:ascii="Times New Roman" w:hAnsi="Times New Roman"/>
          <w:sz w:val="28"/>
        </w:rPr>
        <w:t>Зпр.р. = Сп * 0,06 * Тмаш / Фрв                  (6)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Зпр.р. =100 000 * 0,06 * 380/1972 = 1156,19 руб.</w:t>
      </w:r>
    </w:p>
    <w:p>
      <w:pPr>
        <w:spacing w:before="240" w:after="120"/>
        <w:jc w:val="center"/>
      </w:pPr>
      <w:r>
        <w:rPr>
          <w:rFonts w:ascii="Times New Roman" w:hAnsi="Times New Roman"/>
          <w:b w:val="0"/>
          <w:sz w:val="28"/>
        </w:rPr>
        <w:t>Затраты на материалы, необходимые для эксплуатации компьютера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Затраты на материалы, необходимые для эксплуатации компьютера рассчитывается по формуле (7):</w:t>
      </w:r>
    </w:p>
    <w:p>
      <w:pPr>
        <w:jc w:val="right"/>
      </w:pPr>
      <w:r>
        <w:rPr>
          <w:rFonts w:ascii="Times New Roman" w:hAnsi="Times New Roman"/>
          <w:sz w:val="28"/>
        </w:rPr>
        <w:t>Зматер. = Сп * 0,02 * Тмаш / Фрв                  (7)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Зматер. = 100 000 * 0,02 * 380/1972 = 385,40 руб.</w:t>
      </w:r>
    </w:p>
    <w:p>
      <w:pPr>
        <w:spacing w:before="240" w:after="120"/>
        <w:jc w:val="center"/>
      </w:pPr>
      <w:r>
        <w:rPr>
          <w:rFonts w:ascii="Times New Roman" w:hAnsi="Times New Roman"/>
          <w:b w:val="0"/>
          <w:sz w:val="28"/>
        </w:rPr>
        <w:t>Затраты на электроэнергию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Затраты на электроэнергию рассчитывается по формуле (8):</w:t>
      </w:r>
    </w:p>
    <w:p>
      <w:pPr>
        <w:jc w:val="right"/>
      </w:pPr>
      <w:r>
        <w:rPr>
          <w:rFonts w:ascii="Times New Roman" w:hAnsi="Times New Roman"/>
          <w:sz w:val="28"/>
        </w:rPr>
        <w:t>Зэл. = W * Сэл. * Тмаш ,                          (8)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где W – потребляемая мощность компьютера, кВт;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Сэл. – тариф на электроэнергию, руб/кВт-час.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Зэл. = 0,45 * 7,87 * 380 = 1 345,77 руб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Таблица 2 - Расчет себестоимости программного продукта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Наименование статей калькуляции</w:t>
            </w:r>
          </w:p>
        </w:tc>
        <w:tc>
          <w:tcPr>
            <w:tcW w:type="dxa" w:w="4844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4"/>
              </w:rPr>
              <w:t>Сумма руб.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Стоимость электроэнергии</w:t>
            </w:r>
          </w:p>
        </w:tc>
        <w:tc>
          <w:tcPr>
            <w:tcW w:type="dxa" w:w="4844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1 345,77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Стоимость амортизационных отчислений</w:t>
            </w:r>
          </w:p>
        </w:tc>
        <w:tc>
          <w:tcPr>
            <w:tcW w:type="dxa" w:w="4844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3 853,96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Стоимость текущего ремонта оборудования</w:t>
            </w:r>
          </w:p>
        </w:tc>
        <w:tc>
          <w:tcPr>
            <w:tcW w:type="dxa" w:w="4844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1 156,19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Стоимость материальных затрат</w:t>
            </w:r>
          </w:p>
        </w:tc>
        <w:tc>
          <w:tcPr>
            <w:tcW w:type="dxa" w:w="4844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385,40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Затраты на оплату труда разработчика</w:t>
            </w:r>
          </w:p>
        </w:tc>
        <w:tc>
          <w:tcPr>
            <w:tcW w:type="dxa" w:w="4844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204 462,47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Затраты на оплату труда администратора</w:t>
            </w:r>
          </w:p>
        </w:tc>
        <w:tc>
          <w:tcPr>
            <w:tcW w:type="dxa" w:w="4844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71 561,87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Отчисления в ФСО</w:t>
            </w:r>
          </w:p>
        </w:tc>
        <w:tc>
          <w:tcPr>
            <w:tcW w:type="dxa" w:w="4844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82 807,30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Затраты на хостинг</w:t>
            </w:r>
          </w:p>
        </w:tc>
        <w:tc>
          <w:tcPr>
            <w:tcW w:type="dxa" w:w="4844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3 000,00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Затраты на лицензии</w:t>
            </w:r>
          </w:p>
        </w:tc>
        <w:tc>
          <w:tcPr>
            <w:tcW w:type="dxa" w:w="4844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500,00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Затраты на рекламу и продвижение</w:t>
            </w:r>
          </w:p>
        </w:tc>
        <w:tc>
          <w:tcPr>
            <w:tcW w:type="dxa" w:w="4844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10 000,00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 полная себестоимость</w:t>
            </w:r>
          </w:p>
        </w:tc>
        <w:tc>
          <w:tcPr>
            <w:tcW w:type="dxa" w:w="4844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4"/>
              </w:rPr>
              <w:t>379 072,96</w:t>
            </w:r>
          </w:p>
        </w:tc>
      </w:tr>
    </w:tbl>
    <w:p>
      <w:r>
        <w:rPr>
          <w:rFonts w:ascii="Times New Roman" w:hAnsi="Times New Roman"/>
          <w:sz w:val="28"/>
        </w:rPr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Полученные результаты расчета себестоимости программного продукта представлены на диаграмме «Статьи расхода предприятия» (см. рисунок 3).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[pic]</w:t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3 – Статьи расхода предприятия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3.3.2. Сводные экономические показатели и выводы по проделанной работе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Для расчета экономического эффекта получаемого за счёт увеличения числа обучающихся по формуле (9) необходимы следующие данные: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Q1 – фактическое количество обучающихся;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Q2 - предполагаемый рост количества обучающихся, %;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A – средний доход с одного обучающегося;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E – дополнительные обучающиеся.</w:t>
      </w:r>
    </w:p>
    <w:p>
      <w:pPr>
        <w:jc w:val="right"/>
      </w:pPr>
      <w:r>
        <w:rPr>
          <w:rFonts w:ascii="Times New Roman" w:hAnsi="Times New Roman"/>
          <w:sz w:val="28"/>
        </w:rPr>
        <w:t>Е= Q1*Q2                                          (9)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Е=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Для расчета дополнительного дохода (AI) используется формула (10):</w:t>
      </w:r>
    </w:p>
    <w:p>
      <w:pPr>
        <w:jc w:val="right"/>
      </w:pPr>
      <w:r>
        <w:rPr>
          <w:rFonts w:ascii="Times New Roman" w:hAnsi="Times New Roman"/>
          <w:sz w:val="28"/>
        </w:rPr>
        <w:t>AI = E*A                                          (10)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AI =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Расчет времени, за которое окупится программный продукт (11):</w:t>
      </w:r>
    </w:p>
    <w:p>
      <w:pPr>
        <w:jc w:val="right"/>
      </w:pPr>
      <w:r>
        <w:rPr>
          <w:rFonts w:ascii="Times New Roman" w:hAnsi="Times New Roman"/>
          <w:sz w:val="28"/>
        </w:rPr>
        <w:t>Ток = Зитог / AI                                  (11)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Ток =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Зитог - общая сумма денежных средств, потраченных на его разработку, внедрение и адаптацию (включая лицензирование, обслуживание, поддержку) составляет ххх.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AI - ожидаемый экономический эффект от внедрения Интернет-сайта продукта равно ххх и время, за которое окупится программный продукт Ток период.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В результате разработку и внедрение данного программного продукта следует считать целесообразным и обоснованным с экономической точки зрения.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Учитывая полезность и эффективность данного программного продукта, можно сказать, что образовательная платформа «CodePath», внедрённая в эксплуатацию, обеспечит более весомые результаты при решении поставленных задач обучения программированию, что повлечет за собой экономию времени и затрат труда. Расчеты показали, что стоимость программного продукта составила ХХХ руб., срок окупаемости ХХХ.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Список используемой литературы</w:t>
      </w:r>
    </w:p>
    <w:p>
      <w:pPr>
        <w:ind w:left="567" w:firstLine="0"/>
      </w:pPr>
      <w:r>
        <w:rPr>
          <w:rFonts w:ascii="Times New Roman" w:hAnsi="Times New Roman"/>
          <w:sz w:val="28"/>
        </w:rPr>
        <w:t>1. ГОСТ 19.102-77 ЕСПД. Стадии разработки.</w:t>
      </w:r>
    </w:p>
    <w:p>
      <w:pPr>
        <w:ind w:left="567" w:firstLine="0"/>
      </w:pPr>
      <w:r>
        <w:rPr>
          <w:rFonts w:ascii="Times New Roman" w:hAnsi="Times New Roman"/>
          <w:sz w:val="28"/>
        </w:rPr>
        <w:t>2. ГОСТ 19.105-78 ЕСПД. Общие требования к программным документам.</w:t>
      </w:r>
    </w:p>
    <w:p>
      <w:pPr>
        <w:ind w:left="567" w:firstLine="0"/>
      </w:pPr>
      <w:r>
        <w:rPr>
          <w:rFonts w:ascii="Times New Roman" w:hAnsi="Times New Roman"/>
          <w:sz w:val="28"/>
        </w:rPr>
        <w:t>3. ГОСТ 19.106-79. Единая система программной документации. Программа и методика испытаний. Требования к содержанию и оформлению.</w:t>
      </w:r>
    </w:p>
    <w:p>
      <w:pPr>
        <w:ind w:left="567" w:firstLine="0"/>
      </w:pPr>
      <w:r>
        <w:rPr>
          <w:rFonts w:ascii="Times New Roman" w:hAnsi="Times New Roman"/>
          <w:sz w:val="28"/>
        </w:rPr>
        <w:t>4. ГОСТ 19.201-78 ЕСПД. Техническое задание. Требования к содержанию и оформлению.</w:t>
      </w:r>
    </w:p>
    <w:p>
      <w:pPr>
        <w:ind w:left="567" w:firstLine="0"/>
      </w:pPr>
      <w:r>
        <w:rPr>
          <w:rFonts w:ascii="Times New Roman" w:hAnsi="Times New Roman"/>
          <w:sz w:val="28"/>
        </w:rPr>
        <w:t>5. ГОСТ 19.701-90 ЕСПД. Схемы алгоритмов, программ, данных и систем. Условные обозначения и правила выполнения.</w:t>
      </w:r>
    </w:p>
    <w:p>
      <w:pPr>
        <w:ind w:left="567" w:firstLine="0"/>
      </w:pPr>
      <w:r>
        <w:rPr>
          <w:rFonts w:ascii="Times New Roman" w:hAnsi="Times New Roman"/>
          <w:sz w:val="28"/>
        </w:rPr>
        <w:t>6. Руководство пользователя РД 50-34.698-90.</w:t>
      </w:r>
    </w:p>
    <w:p>
      <w:pPr>
        <w:ind w:left="567" w:firstLine="0"/>
      </w:pPr>
      <w:r>
        <w:rPr>
          <w:rFonts w:ascii="Times New Roman" w:hAnsi="Times New Roman"/>
          <w:sz w:val="28"/>
        </w:rPr>
        <w:t>7. Коваль Т.Б. Методические рекомендации выполнения и защиты дипломного проекта для студентов специальности 09.02.07 Информационные системы и программирование. Учебное электронное пособие / Т.Б. Коваль – г. Москва: частное профессиональное образовательное учреждение «Московский городской открытый колледж», 2025. – 25 с.</w:t>
      </w:r>
    </w:p>
    <w:p>
      <w:pPr>
        <w:ind w:left="567" w:firstLine="0"/>
      </w:pPr>
      <w:r>
        <w:rPr>
          <w:rFonts w:ascii="Times New Roman" w:hAnsi="Times New Roman"/>
          <w:sz w:val="28"/>
        </w:rPr>
        <w:t>8. React – The library for web and native user interfaces [Электронный ресурс]. – Режим доступа: https://react.dev/</w:t>
      </w:r>
    </w:p>
    <w:p>
      <w:pPr>
        <w:ind w:left="567" w:firstLine="0"/>
      </w:pPr>
      <w:r>
        <w:rPr>
          <w:rFonts w:ascii="Times New Roman" w:hAnsi="Times New Roman"/>
          <w:sz w:val="28"/>
        </w:rPr>
        <w:t>9. Vite – Next Generation Frontend Tooling [Электронный ресурс]. – Режим доступа: https://vitejs.dev/</w:t>
      </w:r>
    </w:p>
    <w:p>
      <w:pPr>
        <w:ind w:left="567" w:firstLine="0"/>
      </w:pPr>
      <w:r>
        <w:rPr>
          <w:rFonts w:ascii="Times New Roman" w:hAnsi="Times New Roman"/>
          <w:sz w:val="28"/>
        </w:rPr>
        <w:t>10. Tailwind CSS – A utility-first CSS framework [Электронный ресурс]. – Режим доступа: https://tailwindcss.com/</w:t>
      </w:r>
    </w:p>
    <w:p>
      <w:pPr>
        <w:ind w:left="567" w:firstLine="0"/>
      </w:pPr>
      <w:r>
        <w:rPr>
          <w:rFonts w:ascii="Times New Roman" w:hAnsi="Times New Roman"/>
          <w:sz w:val="28"/>
        </w:rPr>
        <w:t>11. Express – Fast, unopinionated, minimalist web framework for Node.js [Электронный ресурс]. – Режим доступа: https://expressjs.com/</w:t>
      </w:r>
    </w:p>
    <w:p>
      <w:pPr>
        <w:ind w:left="567" w:firstLine="0"/>
      </w:pPr>
      <w:r>
        <w:rPr>
          <w:rFonts w:ascii="Times New Roman" w:hAnsi="Times New Roman"/>
          <w:sz w:val="28"/>
        </w:rPr>
        <w:t>12. PostgreSQL – The World's Most Advanced Open Source Relational Database [Электронный ресурс]. – Режим доступа: https://www.postgresql.org/</w:t>
      </w:r>
    </w:p>
    <w:p>
      <w:pPr>
        <w:ind w:left="567" w:firstLine="0"/>
      </w:pPr>
      <w:r>
        <w:rPr>
          <w:rFonts w:ascii="Times New Roman" w:hAnsi="Times New Roman"/>
          <w:sz w:val="28"/>
        </w:rPr>
        <w:t>13. Drizzle ORM – TypeScript ORM for SQL databases [Электронный ресурс]. – Режим доступа: https://orm.drizzle.team/</w:t>
      </w:r>
    </w:p>
    <w:p>
      <w:pPr>
        <w:ind w:left="567" w:firstLine="0"/>
      </w:pPr>
      <w:r>
        <w:rPr>
          <w:rFonts w:ascii="Times New Roman" w:hAnsi="Times New Roman"/>
          <w:sz w:val="28"/>
        </w:rPr>
        <w:t>14. Monaco Editor – The Code Editor that Powers VS Code [Электронный ресурс]. – Режим доступа: https://microsoft.github.io/monaco-editor/</w:t>
      </w:r>
    </w:p>
    <w:p>
      <w:pPr>
        <w:ind w:left="567" w:firstLine="0"/>
      </w:pPr>
      <w:r>
        <w:rPr>
          <w:rFonts w:ascii="Times New Roman" w:hAnsi="Times New Roman"/>
          <w:sz w:val="28"/>
        </w:rPr>
        <w:t>15. TypeScript – JavaScript with syntax for types [Электронный ресурс]. – Режим доступа: https://www.typescriptlang.org/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