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Avances de Felipe Orellana</w:t>
        <w:br/>
        <w:t>y Felipe Docmac</w:t>
      </w:r>
    </w:p>
    <w:p>
      <w:pPr>
        <w:pStyle w:val="Subtitle"/>
      </w:pPr>
      <w:r>
        <w:t>Project Dossier · Resumen para ponerse al día</w:t>
        <w:br/>
        <w:t>20 commits de compañeros · 23 al 26 de septiembre de 2026</w:t>
      </w:r>
    </w:p>
    <w:p>
      <w:r>
        <w:t>Felipe Orellana avanzó en cómo se generan, organizan y guardan los informes. Felipe Docmac reforzó la base técnica para instalar el proyecto, comprobar su calidad y modificar la base de datos de forma ordenada. Estos son los aportes principales de los dos compañeros en sus 20 commits más recientes del historial local, revisados al 4 de octubre de 2026.</w:t>
      </w:r>
    </w:p>
    <w:p>
      <w:pPr>
        <w:pStyle w:val="Heading1"/>
      </w:pPr>
      <w:r>
        <w:t>Felipe Orellana mejoró los informes</w:t>
      </w:r>
    </w:p>
    <w:p>
      <w:pPr>
        <w:pStyle w:val="Heading2"/>
      </w:pPr>
      <w:r>
        <w:t>La respuesta de la IA ahora se puede comprobar</w:t>
      </w:r>
    </w:p>
    <w:p>
      <w:r>
        <w:t>En el flujo de investigación de personas con People Data Labs, la IA entrega información organizada en campos. Ese formato se llama JSON y permite comprobar que la respuesta tiene la estructura esperada. Si llega incompleta o con un formato incorrecto, el sistema le pide que la corrija.</w:t>
      </w:r>
    </w:p>
    <w:p>
      <w:r>
        <w:t>Para el usuario, el beneficio es recibir un informe con secciones más consistentes. Esta comprobación valida la estructura; la calidad de los datos sigue dependiendo de sus fuentes.</w:t>
      </w:r>
    </w:p>
    <w:p>
      <w:pPr>
        <w:pStyle w:val="Heading2"/>
      </w:pPr>
      <w:r>
        <w:t>Se guardan los datos ordenados y el texto del informe</w:t>
      </w:r>
    </w:p>
    <w:p>
      <w:r>
        <w:t>El sistema guarda esa información organizada junto con el texto que se muestra en pantalla. El texto se construye desde los mismos datos, por lo que ambas versiones quedan relacionadas. Se conserva la compatibilidad con los informes anteriores y con el cobro de créditos.</w:t>
      </w:r>
    </w:p>
    <w:p>
      <w:pPr>
        <w:pStyle w:val="Heading2"/>
      </w:pPr>
      <w:r>
        <w:t>Volvieron la recomendación y el nivel de confianza</w:t>
      </w:r>
    </w:p>
    <w:p>
      <w:r>
        <w:t>Orellana recuperó la conclusión, los hallazgos clave, el riesgo global y los próximos pasos sugeridos. También volvió la sección que distingue información de alta, media o baja confianza y las inferencias de la IA. Estos apartados se habían perdido durante el cambio de formato.</w:t>
      </w:r>
    </w:p>
    <w:p>
      <w:pPr>
        <w:pStyle w:val="Heading2"/>
      </w:pPr>
      <w:r>
        <w:t>Preparó el almacenamiento de información detallada</w:t>
      </w:r>
    </w:p>
    <w:p>
      <w:r>
        <w:t>Amplió las tablas existentes de alertas, trayectoria profesional y menciones de prensa para incluir más información y sus fuentes. Es una base para futuras funciones: todavía falta que el proceso de generación guarde cada elemento en esas tablas por separado.</w:t>
      </w:r>
    </w:p>
    <w:p>
      <w:pPr>
        <w:pStyle w:val="Heading2"/>
      </w:pPr>
      <w:r>
        <w:t>Corrigió un detalle del registro de usuarios</w:t>
      </w:r>
    </w:p>
    <w:p>
      <w:r>
        <w:t>Ajustó la etiqueta de la zona horaria UTC para que se muestre de la misma forma en el servidor y en el navegador. Esto corrige una inconsistencia al cargar el formulario de registro.</w:t>
      </w:r>
    </w:p>
    <w:p>
      <w:pPr>
        <w:spacing w:after="120"/>
      </w:pPr>
      <w:r>
        <w:rPr>
          <w:sz w:val="18"/>
        </w:rPr>
      </w:r>
      <w:r>
        <w:rPr>
          <w:i/>
          <w:sz w:val="18"/>
        </w:rPr>
        <w:t xml:space="preserve">Referencia: </w:t>
      </w:r>
      <w:hyperlink r:id="rId10">
        <w:r>
          <w:rPr>
            <w:color w:val="17516A"/>
            <w:u w:val="single"/>
          </w:rPr>
          <w:t>dc80f9d</w:t>
        </w:r>
      </w:hyperlink>
      <w:r>
        <w:rPr>
          <w:sz w:val="18"/>
        </w:rPr>
        <w:t xml:space="preserve"> · </w:t>
      </w:r>
      <w:hyperlink r:id="rId11">
        <w:r>
          <w:rPr>
            <w:color w:val="17516A"/>
            <w:u w:val="single"/>
          </w:rPr>
          <w:t>1ddaa8d</w:t>
        </w:r>
      </w:hyperlink>
      <w:r>
        <w:rPr>
          <w:sz w:val="18"/>
        </w:rPr>
        <w:t xml:space="preserve"> · </w:t>
      </w:r>
      <w:hyperlink r:id="rId12">
        <w:r>
          <w:rPr>
            <w:color w:val="17516A"/>
            <w:u w:val="single"/>
          </w:rPr>
          <w:t>4139a97</w:t>
        </w:r>
      </w:hyperlink>
      <w:r>
        <w:rPr>
          <w:sz w:val="18"/>
        </w:rPr>
        <w:t xml:space="preserve"> · </w:t>
      </w:r>
      <w:hyperlink r:id="rId13">
        <w:r>
          <w:rPr>
            <w:color w:val="17516A"/>
            <w:u w:val="single"/>
          </w:rPr>
          <w:t>c54ad2a</w:t>
        </w:r>
      </w:hyperlink>
      <w:r>
        <w:rPr>
          <w:sz w:val="18"/>
        </w:rPr>
        <w:t xml:space="preserve"> · </w:t>
      </w:r>
      <w:hyperlink r:id="rId14">
        <w:r>
          <w:rPr>
            <w:color w:val="17516A"/>
            <w:u w:val="single"/>
          </w:rPr>
          <w:t>8b0bc1b</w:t>
        </w:r>
      </w:hyperlink>
    </w:p>
    <w:p>
      <w:r>
        <w:br w:type="page"/>
      </w:r>
    </w:p>
    <w:p>
      <w:pPr>
        <w:pStyle w:val="Heading1"/>
      </w:pPr>
      <w:r>
        <w:t>Felipe Docmac reforzó la base del proyecto</w:t>
      </w:r>
    </w:p>
    <w:p>
      <w:pPr>
        <w:pStyle w:val="Heading2"/>
      </w:pPr>
      <w:r>
        <w:t>La base de datos tiene cambios ordenados por versión</w:t>
      </w:r>
    </w:p>
    <w:p>
      <w:r>
        <w:t>Docmac incorporó Alembic, una herramienta que lleva el registro de los cambios de la base de datos y permite aplicarlos en orden. Preparó una versión inicial que reúne las tablas y reglas existentes, incluido el descuento de créditos.</w:t>
      </w:r>
    </w:p>
    <w:p>
      <w:r>
        <w:t>También corrigió un problema al iniciar el sistema con una base vacía: primero se crean las tablas y después se aplican sus ajustes. Antes, ese orden podía impedir el arranque.</w:t>
      </w:r>
    </w:p>
    <w:p>
      <w:r>
        <w:t>En la práctica, esto facilita preparar una instalación nueva y saber qué cambios de base de datos le faltan a cada entorno.</w:t>
      </w:r>
    </w:p>
    <w:p>
      <w:pPr>
        <w:spacing w:after="120"/>
      </w:pPr>
      <w:r>
        <w:rPr>
          <w:sz w:val="18"/>
        </w:rPr>
      </w:r>
      <w:r>
        <w:rPr>
          <w:i/>
          <w:sz w:val="18"/>
        </w:rPr>
        <w:t xml:space="preserve">Referencia: </w:t>
      </w:r>
      <w:hyperlink r:id="rId15">
        <w:r>
          <w:rPr>
            <w:color w:val="17516A"/>
            <w:u w:val="single"/>
          </w:rPr>
          <w:t>f5b3bf4</w:t>
        </w:r>
      </w:hyperlink>
      <w:r>
        <w:rPr>
          <w:sz w:val="18"/>
        </w:rPr>
        <w:t xml:space="preserve"> · </w:t>
      </w:r>
      <w:hyperlink r:id="rId16">
        <w:r>
          <w:rPr>
            <w:color w:val="17516A"/>
            <w:u w:val="single"/>
          </w:rPr>
          <w:t>e737310</w:t>
        </w:r>
      </w:hyperlink>
    </w:p>
    <w:p>
      <w:pPr>
        <w:pStyle w:val="Heading2"/>
      </w:pPr>
      <w:r>
        <w:t>Agregó controles y atendió errores de calidad</w:t>
      </w:r>
    </w:p>
    <w:p>
      <w:r>
        <w:t>Configuró herramientas que revisan el código del servidor y detectan inconsistencias antes de ejecutar la aplicación. Después atendió 169 errores de una revisión y 45 de otra, según su reporte. Parte del trabajo corrigió declaraciones y código; otra parte documentó excepciones justificadas.</w:t>
      </w:r>
    </w:p>
    <w:p>
      <w:r>
        <w:t>También atendió errores y avisos en la interfaz. Varias advertencias se resolvieron mediante excepciones documentadas, por lo que el resultado no significa que se haya reescrito toda esa lógica. El propósito fue dejar una base que pueda pasar los controles de calidad de forma consistente.</w:t>
      </w:r>
    </w:p>
    <w:p>
      <w:pPr>
        <w:spacing w:after="120"/>
      </w:pPr>
      <w:r>
        <w:rPr>
          <w:sz w:val="18"/>
        </w:rPr>
      </w:r>
      <w:r>
        <w:rPr>
          <w:i/>
          <w:sz w:val="18"/>
        </w:rPr>
        <w:t xml:space="preserve">Referencia: </w:t>
      </w:r>
      <w:hyperlink r:id="rId17">
        <w:r>
          <w:rPr>
            <w:color w:val="17516A"/>
            <w:u w:val="single"/>
          </w:rPr>
          <w:t>664edc4</w:t>
        </w:r>
      </w:hyperlink>
      <w:r>
        <w:rPr>
          <w:sz w:val="18"/>
        </w:rPr>
        <w:t xml:space="preserve"> · </w:t>
      </w:r>
      <w:hyperlink r:id="rId18">
        <w:r>
          <w:rPr>
            <w:color w:val="17516A"/>
            <w:u w:val="single"/>
          </w:rPr>
          <w:t>af49943</w:t>
        </w:r>
      </w:hyperlink>
      <w:r>
        <w:rPr>
          <w:sz w:val="18"/>
        </w:rPr>
        <w:t xml:space="preserve"> · </w:t>
      </w:r>
      <w:hyperlink r:id="rId19">
        <w:r>
          <w:rPr>
            <w:color w:val="17516A"/>
            <w:u w:val="single"/>
          </w:rPr>
          <w:t>2e69f71</w:t>
        </w:r>
      </w:hyperlink>
    </w:p>
    <w:p>
      <w:pPr>
        <w:pStyle w:val="Heading2"/>
      </w:pPr>
      <w:r>
        <w:t>Las pruebas ya no dependen de su configuración personal</w:t>
      </w:r>
    </w:p>
    <w:p>
      <w:r>
        <w:t>Cuatro pruebas de créditos pasaban por separado y fallaban al ejecutarlas juntas. Encontró que la configuración del desarrollador se estaba mezclando con el entorno de pruebas. Aisló ese valor y registró un resultado de 117 pruebas aprobadas, ninguna fallida y 13 omitidas.</w:t>
      </w:r>
    </w:p>
    <w:p>
      <w:r>
        <w:t>Este cambio permite confiar mejor en los resultados de las pruebas de créditos. No modifica la regla de cobro del producto.</w:t>
      </w:r>
    </w:p>
    <w:p>
      <w:pPr>
        <w:spacing w:after="120"/>
      </w:pPr>
      <w:r>
        <w:rPr>
          <w:sz w:val="18"/>
        </w:rPr>
      </w:r>
      <w:r>
        <w:rPr>
          <w:i/>
          <w:sz w:val="18"/>
        </w:rPr>
        <w:t xml:space="preserve">Referencia: </w:t>
      </w:r>
      <w:hyperlink r:id="rId20">
        <w:r>
          <w:rPr>
            <w:color w:val="17516A"/>
            <w:u w:val="single"/>
          </w:rPr>
          <w:t>b3455dc</w:t>
        </w:r>
      </w:hyperlink>
    </w:p>
    <w:p>
      <w:pPr>
        <w:pStyle w:val="Heading2"/>
      </w:pPr>
      <w:r>
        <w:t>La instalación quedó más reproducible y documentada</w:t>
      </w:r>
    </w:p>
    <w:p>
      <w:r>
        <w:t>Fijó versiones exactas de las dependencias del servidor y actualizó Next.js. Además, repuso el archivo SQL de instalación, que estaba vacío, y escribió una guía de arranque local con los pasos para preparar el servidor, la interfaz y la base de datos.</w:t>
      </w:r>
    </w:p>
    <w:p>
      <w:r>
        <w:t>La utilidad para el equipo es concreta: contar con instrucciones y versiones definidas para instalar el proyecto, en lugar de depender de cómo lo tenía configurado otro compañero.</w:t>
      </w:r>
    </w:p>
    <w:p>
      <w:pPr>
        <w:spacing w:after="120"/>
      </w:pPr>
      <w:r>
        <w:rPr>
          <w:sz w:val="18"/>
        </w:rPr>
      </w:r>
      <w:r>
        <w:rPr>
          <w:i/>
          <w:sz w:val="18"/>
        </w:rPr>
        <w:t xml:space="preserve">Referencia: </w:t>
      </w:r>
      <w:hyperlink r:id="rId21">
        <w:r>
          <w:rPr>
            <w:color w:val="17516A"/>
            <w:u w:val="single"/>
          </w:rPr>
          <w:t>b90ae4a</w:t>
        </w:r>
      </w:hyperlink>
      <w:r>
        <w:rPr>
          <w:sz w:val="18"/>
        </w:rPr>
        <w:t xml:space="preserve"> · </w:t>
      </w:r>
      <w:hyperlink r:id="rId22">
        <w:r>
          <w:rPr>
            <w:color w:val="17516A"/>
            <w:u w:val="single"/>
          </w:rPr>
          <w:t>168e9c1</w:t>
        </w:r>
      </w:hyperlink>
      <w:r>
        <w:rPr>
          <w:sz w:val="18"/>
        </w:rPr>
        <w:t xml:space="preserve"> · </w:t>
      </w:r>
      <w:hyperlink r:id="rId19">
        <w:r>
          <w:rPr>
            <w:color w:val="17516A"/>
            <w:u w:val="single"/>
          </w:rPr>
          <w:t>2e69f71</w:t>
        </w:r>
      </w:hyperlink>
    </w:p>
    <w:p>
      <w:pPr>
        <w:pStyle w:val="Heading2"/>
      </w:pPr>
      <w:r>
        <w:t>Dejó configuradas revisiones automáticas en GitHub</w:t>
      </w:r>
    </w:p>
    <w:p>
      <w:r>
        <w:t>Añadió un archivo para que GitHub ejecute pruebas, análisis de código y la compilación de la interfaz en cambios dirigidos a la rama principal. El reporte deja pendiente comprobar su ejecución en GitHub y configurar la protección que impide integrar cambios cuando los controles fallan.</w:t>
      </w:r>
    </w:p>
    <w:p>
      <w:pPr>
        <w:spacing w:after="120"/>
      </w:pPr>
      <w:r>
        <w:rPr>
          <w:sz w:val="18"/>
        </w:rPr>
      </w:r>
      <w:r>
        <w:rPr>
          <w:i/>
          <w:sz w:val="18"/>
        </w:rPr>
        <w:t xml:space="preserve">Referencia: </w:t>
      </w:r>
      <w:hyperlink r:id="rId23">
        <w:r>
          <w:rPr>
            <w:color w:val="17516A"/>
            <w:u w:val="single"/>
          </w:rPr>
          <w:t>d33f4c1</w:t>
        </w:r>
      </w:hyperlink>
    </w:p>
    <w:p>
      <w:r>
        <w:br w:type="page"/>
      </w:r>
    </w:p>
    <w:p>
      <w:pPr>
        <w:pStyle w:val="Heading1"/>
      </w:pPr>
      <w:r>
        <w:t>Qué está comprobado y qué falta cerrar</w:t>
      </w:r>
    </w:p>
    <w:p>
      <w:pPr>
        <w:pStyle w:val="Heading2"/>
      </w:pPr>
      <w:r>
        <w:t>Los avances tienen límites concretos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7257"/>
      </w:tblGrid>
      <w:tr>
        <w:trPr>
          <w:cantSplit/>
          <w:tblHeader/>
        </w:trPr>
        <w:tc>
          <w:tcPr>
            <w:tcW w:type="dxa" w:w="2381"/>
            <w:vAlign w:val="center"/>
            <w:shd w:fill="233F50"/>
            <w:tcMar>
              <w:top w:w="100" w:type="dxa"/>
              <w:bottom w:w="100" w:type="dxa"/>
              <w:left w:w="110" w:type="dxa"/>
              <w:right w:w="110" w:type="dxa"/>
            </w:tcMar>
          </w:tcPr>
          <w:p>
            <w:pPr>
              <w:spacing w:after="0" w:line="240" w:lineRule="auto"/>
            </w:pPr>
            <w:r>
              <w:rPr>
                <w:b/>
                <w:color w:val="FFFFFF"/>
                <w:sz w:val="21"/>
              </w:rPr>
              <w:t>Frente</w:t>
            </w:r>
          </w:p>
        </w:tc>
        <w:tc>
          <w:tcPr>
            <w:tcW w:type="dxa" w:w="7257"/>
            <w:vAlign w:val="center"/>
            <w:shd w:fill="233F50"/>
            <w:tcMar>
              <w:top w:w="100" w:type="dxa"/>
              <w:bottom w:w="100" w:type="dxa"/>
              <w:left w:w="110" w:type="dxa"/>
              <w:right w:w="110" w:type="dxa"/>
            </w:tcMar>
          </w:tcPr>
          <w:p>
            <w:pPr>
              <w:spacing w:after="0" w:line="240" w:lineRule="auto"/>
            </w:pPr>
            <w:r>
              <w:rPr>
                <w:b/>
                <w:color w:val="FFFFFF"/>
                <w:sz w:val="21"/>
              </w:rPr>
              <w:t>Pendiente o límite señalado</w:t>
            </w:r>
          </w:p>
        </w:tc>
      </w:tr>
      <w:tr>
        <w:trPr>
          <w:cantSplit/>
        </w:trPr>
        <w:tc>
          <w:tcPr>
            <w:tcW w:type="dxa" w:w="2381"/>
            <w:vAlign w:val="center"/>
            <w:shd w:fill="FFFFFF"/>
            <w:tcMar>
              <w:top w:w="100" w:type="dxa"/>
              <w:bottom w:w="100" w:type="dxa"/>
              <w:left w:w="110" w:type="dxa"/>
              <w:right w:w="110" w:type="dxa"/>
            </w:tcMar>
          </w:tcPr>
          <w:p>
            <w:pPr>
              <w:spacing w:after="0" w:line="240" w:lineRule="auto"/>
            </w:pPr>
            <w:r>
              <w:rPr>
                <w:sz w:val="21"/>
              </w:rPr>
              <w:t>Informes de Orellana</w:t>
            </w:r>
          </w:p>
        </w:tc>
        <w:tc>
          <w:tcPr>
            <w:tcW w:type="dxa" w:w="7257"/>
            <w:vAlign w:val="center"/>
            <w:shd w:fill="FFFFFF"/>
            <w:tcMar>
              <w:top w:w="100" w:type="dxa"/>
              <w:bottom w:w="100" w:type="dxa"/>
              <w:left w:w="110" w:type="dxa"/>
              <w:right w:w="110" w:type="dxa"/>
            </w:tcMar>
          </w:tcPr>
          <w:p>
            <w:pPr>
              <w:spacing w:after="0" w:line="240" w:lineRule="auto"/>
            </w:pPr>
            <w:r>
              <w:rPr>
                <w:sz w:val="21"/>
              </w:rPr>
              <w:t>El nuevo formato está conectado al flujo de personas con People Data Labs. La búsqueda web con IA y los informes corporativos siguen generando texto directo.</w:t>
            </w:r>
          </w:p>
        </w:tc>
      </w:tr>
      <w:tr>
        <w:trPr>
          <w:cantSplit/>
        </w:trPr>
        <w:tc>
          <w:tcPr>
            <w:tcW w:type="dxa" w:w="2381"/>
            <w:vAlign w:val="center"/>
            <w:shd w:fill="F2F5F7"/>
            <w:tcMar>
              <w:top w:w="100" w:type="dxa"/>
              <w:bottom w:w="100" w:type="dxa"/>
              <w:left w:w="110" w:type="dxa"/>
              <w:right w:w="110" w:type="dxa"/>
            </w:tcMar>
          </w:tcPr>
          <w:p>
            <w:pPr>
              <w:spacing w:after="0" w:line="240" w:lineRule="auto"/>
            </w:pPr>
            <w:r>
              <w:rPr>
                <w:sz w:val="21"/>
              </w:rPr>
              <w:t>Pantalla de informes</w:t>
            </w:r>
          </w:p>
        </w:tc>
        <w:tc>
          <w:tcPr>
            <w:tcW w:type="dxa" w:w="7257"/>
            <w:vAlign w:val="center"/>
            <w:shd w:fill="F2F5F7"/>
            <w:tcMar>
              <w:top w:w="100" w:type="dxa"/>
              <w:bottom w:w="100" w:type="dxa"/>
              <w:left w:w="110" w:type="dxa"/>
              <w:right w:w="110" w:type="dxa"/>
            </w:tcMar>
          </w:tcPr>
          <w:p>
            <w:pPr>
              <w:spacing w:after="0" w:line="240" w:lineRule="auto"/>
            </w:pPr>
            <w:r>
              <w:rPr>
                <w:sz w:val="21"/>
              </w:rPr>
              <w:t>Continúa mostrando el informe como texto. Todavía no aprovecha cada campo para mostrar tarjetas o una línea de tiempo.</w:t>
            </w:r>
          </w:p>
        </w:tc>
      </w:tr>
      <w:tr>
        <w:trPr>
          <w:cantSplit/>
        </w:trPr>
        <w:tc>
          <w:tcPr>
            <w:tcW w:type="dxa" w:w="2381"/>
            <w:vAlign w:val="center"/>
            <w:shd w:fill="FFFFFF"/>
            <w:tcMar>
              <w:top w:w="100" w:type="dxa"/>
              <w:bottom w:w="100" w:type="dxa"/>
              <w:left w:w="110" w:type="dxa"/>
              <w:right w:w="110" w:type="dxa"/>
            </w:tcMar>
          </w:tcPr>
          <w:p>
            <w:pPr>
              <w:spacing w:after="0" w:line="240" w:lineRule="auto"/>
            </w:pPr>
            <w:r>
              <w:rPr>
                <w:sz w:val="21"/>
              </w:rPr>
              <w:t>Alertas y trayectoria</w:t>
            </w:r>
          </w:p>
        </w:tc>
        <w:tc>
          <w:tcPr>
            <w:tcW w:type="dxa" w:w="7257"/>
            <w:vAlign w:val="center"/>
            <w:shd w:fill="FFFFFF"/>
            <w:tcMar>
              <w:top w:w="100" w:type="dxa"/>
              <w:bottom w:w="100" w:type="dxa"/>
              <w:left w:w="110" w:type="dxa"/>
              <w:right w:w="110" w:type="dxa"/>
            </w:tcMar>
          </w:tcPr>
          <w:p>
            <w:pPr>
              <w:spacing w:after="0" w:line="240" w:lineRule="auto"/>
            </w:pPr>
            <w:r>
              <w:rPr>
                <w:sz w:val="21"/>
              </w:rPr>
              <w:t>El almacenamiento está preparado, pero falta guardar automáticamente los elementos en sus tablas específicas.</w:t>
            </w:r>
          </w:p>
        </w:tc>
      </w:tr>
      <w:tr>
        <w:trPr>
          <w:cantSplit/>
        </w:trPr>
        <w:tc>
          <w:tcPr>
            <w:tcW w:type="dxa" w:w="2381"/>
            <w:vAlign w:val="center"/>
            <w:shd w:fill="F2F5F7"/>
            <w:tcMar>
              <w:top w:w="100" w:type="dxa"/>
              <w:bottom w:w="100" w:type="dxa"/>
              <w:left w:w="110" w:type="dxa"/>
              <w:right w:w="110" w:type="dxa"/>
            </w:tcMar>
          </w:tcPr>
          <w:p>
            <w:pPr>
              <w:spacing w:after="0" w:line="240" w:lineRule="auto"/>
            </w:pPr>
            <w:r>
              <w:rPr>
                <w:sz w:val="21"/>
              </w:rPr>
              <w:t>Revisión del equipo</w:t>
            </w:r>
          </w:p>
        </w:tc>
        <w:tc>
          <w:tcPr>
            <w:tcW w:type="dxa" w:w="7257"/>
            <w:vAlign w:val="center"/>
            <w:shd w:fill="F2F5F7"/>
            <w:tcMar>
              <w:top w:w="100" w:type="dxa"/>
              <w:bottom w:w="100" w:type="dxa"/>
              <w:left w:w="110" w:type="dxa"/>
              <w:right w:w="110" w:type="dxa"/>
            </w:tcMar>
          </w:tcPr>
          <w:p>
            <w:pPr>
              <w:spacing w:after="0" w:line="240" w:lineRule="auto"/>
            </w:pPr>
            <w:r>
              <w:rPr>
                <w:sz w:val="21"/>
              </w:rPr>
              <w:t>Las tareas de informes de Orellana figuran en revisión. Las de base técnica de Docmac figuran como terminadas, aunque su documentación mantiene pendientes operativos.</w:t>
            </w:r>
          </w:p>
        </w:tc>
      </w:tr>
      <w:tr>
        <w:trPr>
          <w:cantSplit/>
        </w:trPr>
        <w:tc>
          <w:tcPr>
            <w:tcW w:type="dxa" w:w="2381"/>
            <w:vAlign w:val="center"/>
            <w:shd w:fill="FFFFFF"/>
            <w:tcMar>
              <w:top w:w="100" w:type="dxa"/>
              <w:bottom w:w="100" w:type="dxa"/>
              <w:left w:w="110" w:type="dxa"/>
              <w:right w:w="110" w:type="dxa"/>
            </w:tcMar>
          </w:tcPr>
          <w:p>
            <w:pPr>
              <w:spacing w:after="0" w:line="240" w:lineRule="auto"/>
            </w:pPr>
            <w:r>
              <w:rPr>
                <w:sz w:val="21"/>
              </w:rPr>
              <w:t>Controles de GitHub</w:t>
            </w:r>
          </w:p>
        </w:tc>
        <w:tc>
          <w:tcPr>
            <w:tcW w:type="dxa" w:w="7257"/>
            <w:vAlign w:val="center"/>
            <w:shd w:fill="FFFFFF"/>
            <w:tcMar>
              <w:top w:w="100" w:type="dxa"/>
              <w:bottom w:w="100" w:type="dxa"/>
              <w:left w:w="110" w:type="dxa"/>
              <w:right w:w="110" w:type="dxa"/>
            </w:tcMar>
          </w:tcPr>
          <w:p>
            <w:pPr>
              <w:spacing w:after="0" w:line="240" w:lineRule="auto"/>
            </w:pPr>
            <w:r>
              <w:rPr>
                <w:sz w:val="21"/>
              </w:rPr>
              <w:t>Falta acreditar su ejecución y la protección de la rama. La configuración no prepara PostgreSQL para las pruebas que necesitan esa base de datos.</w:t>
            </w:r>
          </w:p>
        </w:tc>
      </w:tr>
    </w:tbl>
    <w:p>
      <w:pPr>
        <w:spacing w:after="0"/>
      </w:pPr>
    </w:p>
    <w:p>
      <w:pPr>
        <w:pStyle w:val="Heading2"/>
      </w:pPr>
      <w:r>
        <w:t>Qué pruebas y verificaciones registraron</w:t>
      </w:r>
    </w:p>
    <w:p>
      <w:r>
        <w:t>Orellana registró pruebas de la estructura del informe, su guardado, las nuevas secciones y los cambios de base de datos. La bitácora de la recomendación final informa 180 pruebas aprobadas y una comprobación con DeepSeek real. En la validación del flujo de personas se usó un perfil ficticio y una base de prueba.</w:t>
      </w:r>
    </w:p>
    <w:p>
      <w:r>
        <w:t>Docmac dejó evidencia de creación de la base de datos, revisión del código, pruebas y compilación de la interfaz. Su consolidación registra 14 pruebas de interfaz aprobadas y ningún error del análisis de esa interfaz. Los resultados de cada sesión corresponden a versiones distintas y no se suman entre sí.</w:t>
      </w:r>
    </w:p>
    <w:p>
      <w:r>
        <w:t>Estas cifras son resultados documentados por los autores. No se volvieron a ejecutar las pruebas para elaborar este resumen. Los commits y archivos revisados acreditan trabajo en el repositorio; por sí solos no confirman que esté publicado para los usuarios.</w:t>
      </w:r>
    </w:p>
    <w:p>
      <w:pPr>
        <w:pStyle w:val="Heading2"/>
      </w:pPr>
      <w:r>
        <w:t>Dónde dejaron documentación</w:t>
      </w:r>
    </w:p>
    <w:p>
      <w:pPr>
        <w:spacing w:after="120"/>
      </w:pPr>
      <w:r/>
      <w:hyperlink r:id="rId24">
        <w:r>
          <w:rPr>
            <w:color w:val="17516A"/>
            <w:u w:val="single"/>
          </w:rPr>
          <w:t>Consolidación de la base técnica</w:t>
        </w:r>
      </w:hyperlink>
      <w:r>
        <w:t xml:space="preserve"> — resumen del trabajo de Felipe Docmac, verificaciones y pendientes.</w:t>
      </w:r>
    </w:p>
    <w:p>
      <w:pPr>
        <w:spacing w:after="120"/>
      </w:pPr>
      <w:r/>
      <w:hyperlink r:id="rId25">
        <w:r>
          <w:rPr>
            <w:color w:val="17516A"/>
            <w:u w:val="single"/>
          </w:rPr>
          <w:t>Guía de arranque local</w:t>
        </w:r>
      </w:hyperlink>
      <w:r>
        <w:t xml:space="preserve"> — pasos para instalar y ejecutar el proyecto.</w:t>
      </w:r>
    </w:p>
    <w:p>
      <w:pPr>
        <w:spacing w:after="120"/>
      </w:pPr>
      <w:r/>
      <w:hyperlink r:id="rId26">
        <w:r>
          <w:rPr>
            <w:color w:val="17516A"/>
            <w:u w:val="single"/>
          </w:rPr>
          <w:t>Bitácora del equipo</w:t>
        </w:r>
      </w:hyperlink>
      <w:r>
        <w:t xml:space="preserve"> — entradas de FO del 26 de septiembre y de FD del 23 de septiembre.</w:t>
      </w:r>
    </w:p>
    <w:p>
      <w:pPr>
        <w:spacing w:after="120"/>
      </w:pPr>
      <w:r/>
      <w:hyperlink r:id="rId27">
        <w:r>
          <w:rPr>
            <w:color w:val="17516A"/>
            <w:u w:val="single"/>
          </w:rPr>
          <w:t>Diseño del formato del dossier</w:t>
        </w:r>
      </w:hyperlink>
      <w:r>
        <w:t xml:space="preserve"> — estructura del informe y secciones esperadas.</w:t>
      </w:r>
    </w:p>
    <w:p>
      <w:pPr>
        <w:spacing w:after="120"/>
      </w:pPr>
      <w:r/>
      <w:hyperlink r:id="rId28">
        <w:r>
          <w:rPr>
            <w:color w:val="17516A"/>
            <w:u w:val="single"/>
          </w:rPr>
          <w:t>Estrategia de datos</w:t>
        </w:r>
      </w:hyperlink>
      <w:r>
        <w:t xml:space="preserve"> — cómo conviven los datos organizados y los informes existentes.</w:t>
      </w:r>
    </w:p>
    <w:p>
      <w:r>
        <w:t>La documentación sí existe, pero está repartida entre la bitácora, la guía de instalación y los documentos de diseño. Los enlaces llevan a la versión correspondiente al último commit de compañeros incluido en este informe.</w:t>
      </w:r>
    </w:p>
    <w:p>
      <w:r>
        <w:br w:type="page"/>
      </w:r>
    </w:p>
    <w:p>
      <w:pPr>
        <w:pStyle w:val="Heading1"/>
      </w:pPr>
      <w:r>
        <w:t>Los 20 commits de tus compañeros</w:t>
      </w:r>
    </w:p>
    <w:p>
      <w:r>
        <w:t>FO corresponde a Felipe Orellana, registrado como Xamppy. FD corresponde a Felipe Docmac. Los 8 commits de FO son del 26 de septiembre y los 12 de FD del 23 de septiembre de 2026. La lista está ordenada del más reciente al más antiguo.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1247"/>
        <w:gridCol w:w="7540"/>
      </w:tblGrid>
      <w:tr>
        <w:trPr>
          <w:cantSplit/>
          <w:tblHeader/>
        </w:trPr>
        <w:tc>
          <w:tcPr>
            <w:tcW w:type="dxa" w:w="850"/>
            <w:vAlign w:val="center"/>
            <w:shd w:fill="233F50"/>
            <w:tcMar>
              <w:top w:w="75" w:type="dxa"/>
              <w:bottom w:w="75" w:type="dxa"/>
              <w:left w:w="110" w:type="dxa"/>
              <w:right w:w="110" w:type="dxa"/>
            </w:tcMar>
          </w:tcPr>
          <w:p>
            <w:pPr>
              <w:spacing w:after="0" w:line="240" w:lineRule="auto"/>
            </w:pPr>
            <w:r>
              <w:rPr>
                <w:b/>
                <w:color w:val="FFFFFF"/>
                <w:sz w:val="19"/>
              </w:rPr>
              <w:t>Autor</w:t>
            </w:r>
          </w:p>
        </w:tc>
        <w:tc>
          <w:tcPr>
            <w:tcW w:type="dxa" w:w="1247"/>
            <w:vAlign w:val="center"/>
            <w:shd w:fill="233F50"/>
            <w:tcMar>
              <w:top w:w="75" w:type="dxa"/>
              <w:bottom w:w="75" w:type="dxa"/>
              <w:left w:w="110" w:type="dxa"/>
              <w:right w:w="110" w:type="dxa"/>
            </w:tcMar>
          </w:tcPr>
          <w:p>
            <w:pPr>
              <w:spacing w:after="0" w:line="240" w:lineRule="auto"/>
            </w:pPr>
            <w:r>
              <w:rPr>
                <w:b/>
                <w:color w:val="FFFFFF"/>
                <w:sz w:val="19"/>
              </w:rPr>
              <w:t>Commit</w:t>
            </w:r>
          </w:p>
        </w:tc>
        <w:tc>
          <w:tcPr>
            <w:tcW w:type="dxa" w:w="7540"/>
            <w:vAlign w:val="center"/>
            <w:shd w:fill="233F50"/>
            <w:tcMar>
              <w:top w:w="75" w:type="dxa"/>
              <w:bottom w:w="75" w:type="dxa"/>
              <w:left w:w="110" w:type="dxa"/>
              <w:right w:w="110" w:type="dxa"/>
            </w:tcMar>
          </w:tcPr>
          <w:p>
            <w:pPr>
              <w:spacing w:after="0" w:line="240" w:lineRule="auto"/>
            </w:pPr>
            <w:r>
              <w:rPr>
                <w:b/>
                <w:color w:val="FFFFFF"/>
                <w:sz w:val="19"/>
              </w:rPr>
              <w:t>Cambio en palabras simples</w:t>
            </w:r>
          </w:p>
        </w:tc>
      </w:tr>
      <w:tr>
        <w:trPr>
          <w:cantSplit/>
        </w:trPr>
        <w:tc>
          <w:tcPr>
            <w:tcW w:type="dxa" w:w="850"/>
            <w:vAlign w:val="center"/>
            <w:shd w:fill="FFFFFF"/>
            <w:tcMar>
              <w:top w:w="75" w:type="dxa"/>
              <w:bottom w:w="75" w:type="dxa"/>
              <w:left w:w="110" w:type="dxa"/>
              <w:right w:w="110" w:type="dxa"/>
            </w:tcMar>
          </w:tcPr>
          <w:p>
            <w:pPr>
              <w:spacing w:after="0" w:line="240" w:lineRule="auto"/>
              <w:jc w:val="center"/>
            </w:pPr>
            <w:r>
              <w:rPr>
                <w:sz w:val="19"/>
              </w:rPr>
              <w:t>FO</w:t>
            </w:r>
          </w:p>
        </w:tc>
        <w:tc>
          <w:tcPr>
            <w:tcW w:type="dxa" w:w="1247"/>
            <w:vAlign w:val="center"/>
            <w:shd w:fill="FFFFFF"/>
            <w:tcMar>
              <w:top w:w="75" w:type="dxa"/>
              <w:bottom w:w="75" w:type="dxa"/>
              <w:left w:w="110" w:type="dxa"/>
              <w:right w:w="110" w:type="dxa"/>
            </w:tcMar>
          </w:tcPr>
          <w:p>
            <w:pPr>
              <w:spacing w:after="0" w:line="240" w:lineRule="auto"/>
              <w:jc w:val="center"/>
            </w:pPr>
            <w:hyperlink r:id="rId12">
              <w:r>
                <w:rPr>
                  <w:color w:val="17516A"/>
                  <w:u w:val="single"/>
                </w:rPr>
                <w:t>4139a97</w:t>
              </w:r>
            </w:hyperlink>
          </w:p>
        </w:tc>
        <w:tc>
          <w:tcPr>
            <w:tcW w:type="dxa" w:w="7540"/>
            <w:vAlign w:val="center"/>
            <w:shd w:fill="FFFFFF"/>
            <w:tcMar>
              <w:top w:w="75" w:type="dxa"/>
              <w:bottom w:w="75" w:type="dxa"/>
              <w:left w:w="110" w:type="dxa"/>
              <w:right w:w="110" w:type="dxa"/>
            </w:tcMar>
          </w:tcPr>
          <w:p>
            <w:pPr>
              <w:spacing w:after="0" w:line="240" w:lineRule="auto"/>
            </w:pPr>
            <w:r>
              <w:rPr>
                <w:sz w:val="19"/>
              </w:rPr>
              <w:t>Recupera la recomendación final y el nivel de confianza del informe.</w:t>
            </w:r>
          </w:p>
        </w:tc>
      </w:tr>
      <w:tr>
        <w:trPr>
          <w:cantSplit/>
        </w:trPr>
        <w:tc>
          <w:tcPr>
            <w:tcW w:type="dxa" w:w="850"/>
            <w:vAlign w:val="center"/>
            <w:shd w:fill="F2F5F7"/>
            <w:tcMar>
              <w:top w:w="75" w:type="dxa"/>
              <w:bottom w:w="75" w:type="dxa"/>
              <w:left w:w="110" w:type="dxa"/>
              <w:right w:w="110" w:type="dxa"/>
            </w:tcMar>
          </w:tcPr>
          <w:p>
            <w:pPr>
              <w:spacing w:after="0" w:line="240" w:lineRule="auto"/>
              <w:jc w:val="center"/>
            </w:pPr>
            <w:r>
              <w:rPr>
                <w:sz w:val="19"/>
              </w:rPr>
              <w:t>FO</w:t>
            </w:r>
          </w:p>
        </w:tc>
        <w:tc>
          <w:tcPr>
            <w:tcW w:type="dxa" w:w="1247"/>
            <w:vAlign w:val="center"/>
            <w:shd w:fill="F2F5F7"/>
            <w:tcMar>
              <w:top w:w="75" w:type="dxa"/>
              <w:bottom w:w="75" w:type="dxa"/>
              <w:left w:w="110" w:type="dxa"/>
              <w:right w:w="110" w:type="dxa"/>
            </w:tcMar>
          </w:tcPr>
          <w:p>
            <w:pPr>
              <w:spacing w:after="0" w:line="240" w:lineRule="auto"/>
              <w:jc w:val="center"/>
            </w:pPr>
            <w:hyperlink r:id="rId11">
              <w:r>
                <w:rPr>
                  <w:color w:val="17516A"/>
                  <w:u w:val="single"/>
                </w:rPr>
                <w:t>1ddaa8d</w:t>
              </w:r>
            </w:hyperlink>
          </w:p>
        </w:tc>
        <w:tc>
          <w:tcPr>
            <w:tcW w:type="dxa" w:w="7540"/>
            <w:vAlign w:val="center"/>
            <w:shd w:fill="F2F5F7"/>
            <w:tcMar>
              <w:top w:w="75" w:type="dxa"/>
              <w:bottom w:w="75" w:type="dxa"/>
              <w:left w:w="110" w:type="dxa"/>
              <w:right w:w="110" w:type="dxa"/>
            </w:tcMar>
          </w:tcPr>
          <w:p>
            <w:pPr>
              <w:spacing w:after="0" w:line="240" w:lineRule="auto"/>
            </w:pPr>
            <w:r>
              <w:rPr>
                <w:sz w:val="19"/>
              </w:rPr>
              <w:t>Guarda los datos validados junto al texto generado desde ellos.</w:t>
            </w:r>
          </w:p>
        </w:tc>
      </w:tr>
      <w:tr>
        <w:trPr>
          <w:cantSplit/>
        </w:trPr>
        <w:tc>
          <w:tcPr>
            <w:tcW w:type="dxa" w:w="850"/>
            <w:vAlign w:val="center"/>
            <w:shd w:fill="FFFFFF"/>
            <w:tcMar>
              <w:top w:w="75" w:type="dxa"/>
              <w:bottom w:w="75" w:type="dxa"/>
              <w:left w:w="110" w:type="dxa"/>
              <w:right w:w="110" w:type="dxa"/>
            </w:tcMar>
          </w:tcPr>
          <w:p>
            <w:pPr>
              <w:spacing w:after="0" w:line="240" w:lineRule="auto"/>
              <w:jc w:val="center"/>
            </w:pPr>
            <w:r>
              <w:rPr>
                <w:sz w:val="19"/>
              </w:rPr>
              <w:t>FO</w:t>
            </w:r>
          </w:p>
        </w:tc>
        <w:tc>
          <w:tcPr>
            <w:tcW w:type="dxa" w:w="1247"/>
            <w:vAlign w:val="center"/>
            <w:shd w:fill="FFFFFF"/>
            <w:tcMar>
              <w:top w:w="75" w:type="dxa"/>
              <w:bottom w:w="75" w:type="dxa"/>
              <w:left w:w="110" w:type="dxa"/>
              <w:right w:w="110" w:type="dxa"/>
            </w:tcMar>
          </w:tcPr>
          <w:p>
            <w:pPr>
              <w:spacing w:after="0" w:line="240" w:lineRule="auto"/>
              <w:jc w:val="center"/>
            </w:pPr>
            <w:hyperlink r:id="rId29">
              <w:r>
                <w:rPr>
                  <w:color w:val="17516A"/>
                  <w:u w:val="single"/>
                </w:rPr>
                <w:t>fc04233</w:t>
              </w:r>
            </w:hyperlink>
          </w:p>
        </w:tc>
        <w:tc>
          <w:tcPr>
            <w:tcW w:type="dxa" w:w="7540"/>
            <w:vAlign w:val="center"/>
            <w:shd w:fill="FFFFFF"/>
            <w:tcMar>
              <w:top w:w="75" w:type="dxa"/>
              <w:bottom w:w="75" w:type="dxa"/>
              <w:left w:w="110" w:type="dxa"/>
              <w:right w:w="110" w:type="dxa"/>
            </w:tcMar>
          </w:tcPr>
          <w:p>
            <w:pPr>
              <w:spacing w:after="0" w:line="240" w:lineRule="auto"/>
            </w:pPr>
            <w:r>
              <w:rPr>
                <w:sz w:val="19"/>
              </w:rPr>
              <w:t>Registra la asignación de la tarea de guardado de informes.</w:t>
            </w:r>
          </w:p>
        </w:tc>
      </w:tr>
      <w:tr>
        <w:trPr>
          <w:cantSplit/>
        </w:trPr>
        <w:tc>
          <w:tcPr>
            <w:tcW w:type="dxa" w:w="850"/>
            <w:vAlign w:val="center"/>
            <w:shd w:fill="F2F5F7"/>
            <w:tcMar>
              <w:top w:w="75" w:type="dxa"/>
              <w:bottom w:w="75" w:type="dxa"/>
              <w:left w:w="110" w:type="dxa"/>
              <w:right w:w="110" w:type="dxa"/>
            </w:tcMar>
          </w:tcPr>
          <w:p>
            <w:pPr>
              <w:spacing w:after="0" w:line="240" w:lineRule="auto"/>
              <w:jc w:val="center"/>
            </w:pPr>
            <w:r>
              <w:rPr>
                <w:sz w:val="19"/>
              </w:rPr>
              <w:t>FO</w:t>
            </w:r>
          </w:p>
        </w:tc>
        <w:tc>
          <w:tcPr>
            <w:tcW w:type="dxa" w:w="1247"/>
            <w:vAlign w:val="center"/>
            <w:shd w:fill="F2F5F7"/>
            <w:tcMar>
              <w:top w:w="75" w:type="dxa"/>
              <w:bottom w:w="75" w:type="dxa"/>
              <w:left w:w="110" w:type="dxa"/>
              <w:right w:w="110" w:type="dxa"/>
            </w:tcMar>
          </w:tcPr>
          <w:p>
            <w:pPr>
              <w:spacing w:after="0" w:line="240" w:lineRule="auto"/>
              <w:jc w:val="center"/>
            </w:pPr>
            <w:hyperlink r:id="rId10">
              <w:r>
                <w:rPr>
                  <w:color w:val="17516A"/>
                  <w:u w:val="single"/>
                </w:rPr>
                <w:t>dc80f9d</w:t>
              </w:r>
            </w:hyperlink>
          </w:p>
        </w:tc>
        <w:tc>
          <w:tcPr>
            <w:tcW w:type="dxa" w:w="7540"/>
            <w:vAlign w:val="center"/>
            <w:shd w:fill="F2F5F7"/>
            <w:tcMar>
              <w:top w:w="75" w:type="dxa"/>
              <w:bottom w:w="75" w:type="dxa"/>
              <w:left w:w="110" w:type="dxa"/>
              <w:right w:w="110" w:type="dxa"/>
            </w:tcMar>
          </w:tcPr>
          <w:p>
            <w:pPr>
              <w:spacing w:after="0" w:line="240" w:lineRule="auto"/>
            </w:pPr>
            <w:r>
              <w:rPr>
                <w:sz w:val="19"/>
              </w:rPr>
              <w:t>Hace que la IA genere información con una estructura comprobable.</w:t>
            </w:r>
          </w:p>
        </w:tc>
      </w:tr>
      <w:tr>
        <w:trPr>
          <w:cantSplit/>
        </w:trPr>
        <w:tc>
          <w:tcPr>
            <w:tcW w:type="dxa" w:w="850"/>
            <w:vAlign w:val="center"/>
            <w:shd w:fill="FFFFFF"/>
            <w:tcMar>
              <w:top w:w="75" w:type="dxa"/>
              <w:bottom w:w="75" w:type="dxa"/>
              <w:left w:w="110" w:type="dxa"/>
              <w:right w:w="110" w:type="dxa"/>
            </w:tcMar>
          </w:tcPr>
          <w:p>
            <w:pPr>
              <w:spacing w:after="0" w:line="240" w:lineRule="auto"/>
              <w:jc w:val="center"/>
            </w:pPr>
            <w:r>
              <w:rPr>
                <w:sz w:val="19"/>
              </w:rPr>
              <w:t>FO</w:t>
            </w:r>
          </w:p>
        </w:tc>
        <w:tc>
          <w:tcPr>
            <w:tcW w:type="dxa" w:w="1247"/>
            <w:vAlign w:val="center"/>
            <w:shd w:fill="FFFFFF"/>
            <w:tcMar>
              <w:top w:w="75" w:type="dxa"/>
              <w:bottom w:w="75" w:type="dxa"/>
              <w:left w:w="110" w:type="dxa"/>
              <w:right w:w="110" w:type="dxa"/>
            </w:tcMar>
          </w:tcPr>
          <w:p>
            <w:pPr>
              <w:spacing w:after="0" w:line="240" w:lineRule="auto"/>
              <w:jc w:val="center"/>
            </w:pPr>
            <w:hyperlink r:id="rId30">
              <w:r>
                <w:rPr>
                  <w:color w:val="17516A"/>
                  <w:u w:val="single"/>
                </w:rPr>
                <w:t>c33b557</w:t>
              </w:r>
            </w:hyperlink>
          </w:p>
        </w:tc>
        <w:tc>
          <w:tcPr>
            <w:tcW w:type="dxa" w:w="7540"/>
            <w:vAlign w:val="center"/>
            <w:shd w:fill="FFFFFF"/>
            <w:tcMar>
              <w:top w:w="75" w:type="dxa"/>
              <w:bottom w:w="75" w:type="dxa"/>
              <w:left w:w="110" w:type="dxa"/>
              <w:right w:w="110" w:type="dxa"/>
            </w:tcMar>
          </w:tcPr>
          <w:p>
            <w:pPr>
              <w:spacing w:after="0" w:line="240" w:lineRule="auto"/>
            </w:pPr>
            <w:r>
              <w:rPr>
                <w:sz w:val="19"/>
              </w:rPr>
              <w:t>Registra la asignación de la tarea de generación estructurada.</w:t>
            </w:r>
          </w:p>
        </w:tc>
      </w:tr>
      <w:tr>
        <w:trPr>
          <w:cantSplit/>
        </w:trPr>
        <w:tc>
          <w:tcPr>
            <w:tcW w:type="dxa" w:w="850"/>
            <w:vAlign w:val="center"/>
            <w:shd w:fill="F2F5F7"/>
            <w:tcMar>
              <w:top w:w="75" w:type="dxa"/>
              <w:bottom w:w="75" w:type="dxa"/>
              <w:left w:w="110" w:type="dxa"/>
              <w:right w:w="110" w:type="dxa"/>
            </w:tcMar>
          </w:tcPr>
          <w:p>
            <w:pPr>
              <w:spacing w:after="0" w:line="240" w:lineRule="auto"/>
              <w:jc w:val="center"/>
            </w:pPr>
            <w:r>
              <w:rPr>
                <w:sz w:val="19"/>
              </w:rPr>
              <w:t>FO</w:t>
            </w:r>
          </w:p>
        </w:tc>
        <w:tc>
          <w:tcPr>
            <w:tcW w:type="dxa" w:w="1247"/>
            <w:vAlign w:val="center"/>
            <w:shd w:fill="F2F5F7"/>
            <w:tcMar>
              <w:top w:w="75" w:type="dxa"/>
              <w:bottom w:w="75" w:type="dxa"/>
              <w:left w:w="110" w:type="dxa"/>
              <w:right w:w="110" w:type="dxa"/>
            </w:tcMar>
          </w:tcPr>
          <w:p>
            <w:pPr>
              <w:spacing w:after="0" w:line="240" w:lineRule="auto"/>
              <w:jc w:val="center"/>
            </w:pPr>
            <w:hyperlink r:id="rId13">
              <w:r>
                <w:rPr>
                  <w:color w:val="17516A"/>
                  <w:u w:val="single"/>
                </w:rPr>
                <w:t>c54ad2a</w:t>
              </w:r>
            </w:hyperlink>
          </w:p>
        </w:tc>
        <w:tc>
          <w:tcPr>
            <w:tcW w:type="dxa" w:w="7540"/>
            <w:vAlign w:val="center"/>
            <w:shd w:fill="F2F5F7"/>
            <w:tcMar>
              <w:top w:w="75" w:type="dxa"/>
              <w:bottom w:w="75" w:type="dxa"/>
              <w:left w:w="110" w:type="dxa"/>
              <w:right w:w="110" w:type="dxa"/>
            </w:tcMar>
          </w:tcPr>
          <w:p>
            <w:pPr>
              <w:spacing w:after="0" w:line="240" w:lineRule="auto"/>
            </w:pPr>
            <w:r>
              <w:rPr>
                <w:sz w:val="19"/>
              </w:rPr>
              <w:t>Amplía el almacenamiento de alertas, trayectoria y menciones de prensa.</w:t>
            </w:r>
          </w:p>
        </w:tc>
      </w:tr>
      <w:tr>
        <w:trPr>
          <w:cantSplit/>
        </w:trPr>
        <w:tc>
          <w:tcPr>
            <w:tcW w:type="dxa" w:w="850"/>
            <w:vAlign w:val="center"/>
            <w:shd w:fill="FFFFFF"/>
            <w:tcMar>
              <w:top w:w="75" w:type="dxa"/>
              <w:bottom w:w="75" w:type="dxa"/>
              <w:left w:w="110" w:type="dxa"/>
              <w:right w:w="110" w:type="dxa"/>
            </w:tcMar>
          </w:tcPr>
          <w:p>
            <w:pPr>
              <w:spacing w:after="0" w:line="240" w:lineRule="auto"/>
              <w:jc w:val="center"/>
            </w:pPr>
            <w:r>
              <w:rPr>
                <w:sz w:val="19"/>
              </w:rPr>
              <w:t>FO</w:t>
            </w:r>
          </w:p>
        </w:tc>
        <w:tc>
          <w:tcPr>
            <w:tcW w:type="dxa" w:w="1247"/>
            <w:vAlign w:val="center"/>
            <w:shd w:fill="FFFFFF"/>
            <w:tcMar>
              <w:top w:w="75" w:type="dxa"/>
              <w:bottom w:w="75" w:type="dxa"/>
              <w:left w:w="110" w:type="dxa"/>
              <w:right w:w="110" w:type="dxa"/>
            </w:tcMar>
          </w:tcPr>
          <w:p>
            <w:pPr>
              <w:spacing w:after="0" w:line="240" w:lineRule="auto"/>
              <w:jc w:val="center"/>
            </w:pPr>
            <w:hyperlink r:id="rId31">
              <w:r>
                <w:rPr>
                  <w:color w:val="17516A"/>
                  <w:u w:val="single"/>
                </w:rPr>
                <w:t>888af8a</w:t>
              </w:r>
            </w:hyperlink>
          </w:p>
        </w:tc>
        <w:tc>
          <w:tcPr>
            <w:tcW w:type="dxa" w:w="7540"/>
            <w:vAlign w:val="center"/>
            <w:shd w:fill="FFFFFF"/>
            <w:tcMar>
              <w:top w:w="75" w:type="dxa"/>
              <w:bottom w:w="75" w:type="dxa"/>
              <w:left w:w="110" w:type="dxa"/>
              <w:right w:w="110" w:type="dxa"/>
            </w:tcMar>
          </w:tcPr>
          <w:p>
            <w:pPr>
              <w:spacing w:after="0" w:line="240" w:lineRule="auto"/>
            </w:pPr>
            <w:r>
              <w:rPr>
                <w:sz w:val="19"/>
              </w:rPr>
              <w:t>Registra la asignación de la tarea de esas estructuras de datos.</w:t>
            </w:r>
          </w:p>
        </w:tc>
      </w:tr>
      <w:tr>
        <w:trPr>
          <w:cantSplit/>
        </w:trPr>
        <w:tc>
          <w:tcPr>
            <w:tcW w:type="dxa" w:w="850"/>
            <w:vAlign w:val="center"/>
            <w:shd w:fill="F2F5F7"/>
            <w:tcMar>
              <w:top w:w="75" w:type="dxa"/>
              <w:bottom w:w="75" w:type="dxa"/>
              <w:left w:w="110" w:type="dxa"/>
              <w:right w:w="110" w:type="dxa"/>
            </w:tcMar>
          </w:tcPr>
          <w:p>
            <w:pPr>
              <w:spacing w:after="0" w:line="240" w:lineRule="auto"/>
              <w:jc w:val="center"/>
            </w:pPr>
            <w:r>
              <w:rPr>
                <w:sz w:val="19"/>
              </w:rPr>
              <w:t>FO</w:t>
            </w:r>
          </w:p>
        </w:tc>
        <w:tc>
          <w:tcPr>
            <w:tcW w:type="dxa" w:w="1247"/>
            <w:vAlign w:val="center"/>
            <w:shd w:fill="F2F5F7"/>
            <w:tcMar>
              <w:top w:w="75" w:type="dxa"/>
              <w:bottom w:w="75" w:type="dxa"/>
              <w:left w:w="110" w:type="dxa"/>
              <w:right w:w="110" w:type="dxa"/>
            </w:tcMar>
          </w:tcPr>
          <w:p>
            <w:pPr>
              <w:spacing w:after="0" w:line="240" w:lineRule="auto"/>
              <w:jc w:val="center"/>
            </w:pPr>
            <w:hyperlink r:id="rId14">
              <w:r>
                <w:rPr>
                  <w:color w:val="17516A"/>
                  <w:u w:val="single"/>
                </w:rPr>
                <w:t>8b0bc1b</w:t>
              </w:r>
            </w:hyperlink>
          </w:p>
        </w:tc>
        <w:tc>
          <w:tcPr>
            <w:tcW w:type="dxa" w:w="7540"/>
            <w:vAlign w:val="center"/>
            <w:shd w:fill="F2F5F7"/>
            <w:tcMar>
              <w:top w:w="75" w:type="dxa"/>
              <w:bottom w:w="75" w:type="dxa"/>
              <w:left w:w="110" w:type="dxa"/>
              <w:right w:w="110" w:type="dxa"/>
            </w:tcMar>
          </w:tcPr>
          <w:p>
            <w:pPr>
              <w:spacing w:after="0" w:line="240" w:lineRule="auto"/>
            </w:pPr>
            <w:r>
              <w:rPr>
                <w:sz w:val="19"/>
              </w:rPr>
              <w:t>Corrige la etiqueta UTC del selector de zona horaria.</w:t>
            </w:r>
          </w:p>
        </w:tc>
      </w:tr>
      <w:tr>
        <w:trPr>
          <w:cantSplit/>
        </w:trPr>
        <w:tc>
          <w:tcPr>
            <w:tcW w:type="dxa" w:w="850"/>
            <w:vAlign w:val="center"/>
            <w:shd w:fill="FFFFFF"/>
            <w:tcMar>
              <w:top w:w="75" w:type="dxa"/>
              <w:bottom w:w="75" w:type="dxa"/>
              <w:left w:w="110" w:type="dxa"/>
              <w:right w:w="110" w:type="dxa"/>
            </w:tcMar>
          </w:tcPr>
          <w:p>
            <w:pPr>
              <w:spacing w:after="0" w:line="240" w:lineRule="auto"/>
              <w:jc w:val="center"/>
            </w:pPr>
            <w:r>
              <w:rPr>
                <w:sz w:val="19"/>
              </w:rPr>
              <w:t>FD</w:t>
            </w:r>
          </w:p>
        </w:tc>
        <w:tc>
          <w:tcPr>
            <w:tcW w:type="dxa" w:w="1247"/>
            <w:vAlign w:val="center"/>
            <w:shd w:fill="FFFFFF"/>
            <w:tcMar>
              <w:top w:w="75" w:type="dxa"/>
              <w:bottom w:w="75" w:type="dxa"/>
              <w:left w:w="110" w:type="dxa"/>
              <w:right w:w="110" w:type="dxa"/>
            </w:tcMar>
          </w:tcPr>
          <w:p>
            <w:pPr>
              <w:spacing w:after="0" w:line="240" w:lineRule="auto"/>
              <w:jc w:val="center"/>
            </w:pPr>
            <w:hyperlink r:id="rId19">
              <w:r>
                <w:rPr>
                  <w:color w:val="17516A"/>
                  <w:u w:val="single"/>
                </w:rPr>
                <w:t>2e69f71</w:t>
              </w:r>
            </w:hyperlink>
          </w:p>
        </w:tc>
        <w:tc>
          <w:tcPr>
            <w:tcW w:type="dxa" w:w="7540"/>
            <w:vAlign w:val="center"/>
            <w:shd w:fill="FFFFFF"/>
            <w:tcMar>
              <w:top w:w="75" w:type="dxa"/>
              <w:bottom w:w="75" w:type="dxa"/>
              <w:left w:w="110" w:type="dxa"/>
              <w:right w:w="110" w:type="dxa"/>
            </w:tcMar>
          </w:tcPr>
          <w:p>
            <w:pPr>
              <w:spacing w:after="0" w:line="240" w:lineRule="auto"/>
            </w:pPr>
            <w:r>
              <w:rPr>
                <w:sz w:val="19"/>
              </w:rPr>
              <w:t>Consolida la base técnica, corrige avisos de interfaz y documenta el trabajo.</w:t>
            </w:r>
          </w:p>
        </w:tc>
      </w:tr>
      <w:tr>
        <w:trPr>
          <w:cantSplit/>
        </w:trPr>
        <w:tc>
          <w:tcPr>
            <w:tcW w:type="dxa" w:w="850"/>
            <w:vAlign w:val="center"/>
            <w:shd w:fill="F2F5F7"/>
            <w:tcMar>
              <w:top w:w="75" w:type="dxa"/>
              <w:bottom w:w="75" w:type="dxa"/>
              <w:left w:w="110" w:type="dxa"/>
              <w:right w:w="110" w:type="dxa"/>
            </w:tcMar>
          </w:tcPr>
          <w:p>
            <w:pPr>
              <w:spacing w:after="0" w:line="240" w:lineRule="auto"/>
              <w:jc w:val="center"/>
            </w:pPr>
            <w:r>
              <w:rPr>
                <w:sz w:val="19"/>
              </w:rPr>
              <w:t>FD</w:t>
            </w:r>
          </w:p>
        </w:tc>
        <w:tc>
          <w:tcPr>
            <w:tcW w:type="dxa" w:w="1247"/>
            <w:vAlign w:val="center"/>
            <w:shd w:fill="F2F5F7"/>
            <w:tcMar>
              <w:top w:w="75" w:type="dxa"/>
              <w:bottom w:w="75" w:type="dxa"/>
              <w:left w:w="110" w:type="dxa"/>
              <w:right w:w="110" w:type="dxa"/>
            </w:tcMar>
          </w:tcPr>
          <w:p>
            <w:pPr>
              <w:spacing w:after="0" w:line="240" w:lineRule="auto"/>
              <w:jc w:val="center"/>
            </w:pPr>
            <w:hyperlink r:id="rId32">
              <w:r>
                <w:rPr>
                  <w:color w:val="17516A"/>
                  <w:u w:val="single"/>
                </w:rPr>
                <w:t>07e4c0a</w:t>
              </w:r>
            </w:hyperlink>
          </w:p>
        </w:tc>
        <w:tc>
          <w:tcPr>
            <w:tcW w:type="dxa" w:w="7540"/>
            <w:vAlign w:val="center"/>
            <w:shd w:fill="F2F5F7"/>
            <w:tcMar>
              <w:top w:w="75" w:type="dxa"/>
              <w:bottom w:w="75" w:type="dxa"/>
              <w:left w:w="110" w:type="dxa"/>
              <w:right w:w="110" w:type="dxa"/>
            </w:tcMar>
          </w:tcPr>
          <w:p>
            <w:pPr>
              <w:spacing w:after="0" w:line="240" w:lineRule="auto"/>
            </w:pPr>
            <w:r>
              <w:rPr>
                <w:sz w:val="19"/>
              </w:rPr>
              <w:t>Documenta la corrección de pruebas de créditos y avances de instalación.</w:t>
            </w:r>
          </w:p>
        </w:tc>
      </w:tr>
      <w:tr>
        <w:trPr>
          <w:cantSplit/>
        </w:trPr>
        <w:tc>
          <w:tcPr>
            <w:tcW w:type="dxa" w:w="850"/>
            <w:vAlign w:val="center"/>
            <w:shd w:fill="FFFFFF"/>
            <w:tcMar>
              <w:top w:w="75" w:type="dxa"/>
              <w:bottom w:w="75" w:type="dxa"/>
              <w:left w:w="110" w:type="dxa"/>
              <w:right w:w="110" w:type="dxa"/>
            </w:tcMar>
          </w:tcPr>
          <w:p>
            <w:pPr>
              <w:spacing w:after="0" w:line="240" w:lineRule="auto"/>
              <w:jc w:val="center"/>
            </w:pPr>
            <w:r>
              <w:rPr>
                <w:sz w:val="19"/>
              </w:rPr>
              <w:t>FD</w:t>
            </w:r>
          </w:p>
        </w:tc>
        <w:tc>
          <w:tcPr>
            <w:tcW w:type="dxa" w:w="1247"/>
            <w:vAlign w:val="center"/>
            <w:shd w:fill="FFFFFF"/>
            <w:tcMar>
              <w:top w:w="75" w:type="dxa"/>
              <w:bottom w:w="75" w:type="dxa"/>
              <w:left w:w="110" w:type="dxa"/>
              <w:right w:w="110" w:type="dxa"/>
            </w:tcMar>
          </w:tcPr>
          <w:p>
            <w:pPr>
              <w:spacing w:after="0" w:line="240" w:lineRule="auto"/>
              <w:jc w:val="center"/>
            </w:pPr>
            <w:hyperlink r:id="rId20">
              <w:r>
                <w:rPr>
                  <w:color w:val="17516A"/>
                  <w:u w:val="single"/>
                </w:rPr>
                <w:t>b3455dc</w:t>
              </w:r>
            </w:hyperlink>
          </w:p>
        </w:tc>
        <w:tc>
          <w:tcPr>
            <w:tcW w:type="dxa" w:w="7540"/>
            <w:vAlign w:val="center"/>
            <w:shd w:fill="FFFFFF"/>
            <w:tcMar>
              <w:top w:w="75" w:type="dxa"/>
              <w:bottom w:w="75" w:type="dxa"/>
              <w:left w:w="110" w:type="dxa"/>
              <w:right w:w="110" w:type="dxa"/>
            </w:tcMar>
          </w:tcPr>
          <w:p>
            <w:pPr>
              <w:spacing w:after="0" w:line="240" w:lineRule="auto"/>
            </w:pPr>
            <w:r>
              <w:rPr>
                <w:sz w:val="19"/>
              </w:rPr>
              <w:t>Evita que la configuración personal altere las pruebas de créditos.</w:t>
            </w:r>
          </w:p>
        </w:tc>
      </w:tr>
      <w:tr>
        <w:trPr>
          <w:cantSplit/>
        </w:trPr>
        <w:tc>
          <w:tcPr>
            <w:tcW w:type="dxa" w:w="850"/>
            <w:vAlign w:val="center"/>
            <w:shd w:fill="F2F5F7"/>
            <w:tcMar>
              <w:top w:w="75" w:type="dxa"/>
              <w:bottom w:w="75" w:type="dxa"/>
              <w:left w:w="110" w:type="dxa"/>
              <w:right w:w="110" w:type="dxa"/>
            </w:tcMar>
          </w:tcPr>
          <w:p>
            <w:pPr>
              <w:spacing w:after="0" w:line="240" w:lineRule="auto"/>
              <w:jc w:val="center"/>
            </w:pPr>
            <w:r>
              <w:rPr>
                <w:sz w:val="19"/>
              </w:rPr>
              <w:t>FD</w:t>
            </w:r>
          </w:p>
        </w:tc>
        <w:tc>
          <w:tcPr>
            <w:tcW w:type="dxa" w:w="1247"/>
            <w:vAlign w:val="center"/>
            <w:shd w:fill="F2F5F7"/>
            <w:tcMar>
              <w:top w:w="75" w:type="dxa"/>
              <w:bottom w:w="75" w:type="dxa"/>
              <w:left w:w="110" w:type="dxa"/>
              <w:right w:w="110" w:type="dxa"/>
            </w:tcMar>
          </w:tcPr>
          <w:p>
            <w:pPr>
              <w:spacing w:after="0" w:line="240" w:lineRule="auto"/>
              <w:jc w:val="center"/>
            </w:pPr>
            <w:hyperlink r:id="rId22">
              <w:r>
                <w:rPr>
                  <w:color w:val="17516A"/>
                  <w:u w:val="single"/>
                </w:rPr>
                <w:t>168e9c1</w:t>
              </w:r>
            </w:hyperlink>
          </w:p>
        </w:tc>
        <w:tc>
          <w:tcPr>
            <w:tcW w:type="dxa" w:w="7540"/>
            <w:vAlign w:val="center"/>
            <w:shd w:fill="F2F5F7"/>
            <w:tcMar>
              <w:top w:w="75" w:type="dxa"/>
              <w:bottom w:w="75" w:type="dxa"/>
              <w:left w:w="110" w:type="dxa"/>
              <w:right w:w="110" w:type="dxa"/>
            </w:tcMar>
          </w:tcPr>
          <w:p>
            <w:pPr>
              <w:spacing w:after="0" w:line="240" w:lineRule="auto"/>
            </w:pPr>
            <w:r>
              <w:rPr>
                <w:sz w:val="19"/>
              </w:rPr>
              <w:t>Repone el archivo SQL vacío y añade la guía de arranque local.</w:t>
            </w:r>
          </w:p>
        </w:tc>
      </w:tr>
      <w:tr>
        <w:trPr>
          <w:cantSplit/>
        </w:trPr>
        <w:tc>
          <w:tcPr>
            <w:tcW w:type="dxa" w:w="850"/>
            <w:vAlign w:val="center"/>
            <w:shd w:fill="FFFFFF"/>
            <w:tcMar>
              <w:top w:w="75" w:type="dxa"/>
              <w:bottom w:w="75" w:type="dxa"/>
              <w:left w:w="110" w:type="dxa"/>
              <w:right w:w="110" w:type="dxa"/>
            </w:tcMar>
          </w:tcPr>
          <w:p>
            <w:pPr>
              <w:spacing w:after="0" w:line="240" w:lineRule="auto"/>
              <w:jc w:val="center"/>
            </w:pPr>
            <w:r>
              <w:rPr>
                <w:sz w:val="19"/>
              </w:rPr>
              <w:t>FD</w:t>
            </w:r>
          </w:p>
        </w:tc>
        <w:tc>
          <w:tcPr>
            <w:tcW w:type="dxa" w:w="1247"/>
            <w:vAlign w:val="center"/>
            <w:shd w:fill="FFFFFF"/>
            <w:tcMar>
              <w:top w:w="75" w:type="dxa"/>
              <w:bottom w:w="75" w:type="dxa"/>
              <w:left w:w="110" w:type="dxa"/>
              <w:right w:w="110" w:type="dxa"/>
            </w:tcMar>
          </w:tcPr>
          <w:p>
            <w:pPr>
              <w:spacing w:after="0" w:line="240" w:lineRule="auto"/>
              <w:jc w:val="center"/>
            </w:pPr>
            <w:hyperlink r:id="rId21">
              <w:r>
                <w:rPr>
                  <w:color w:val="17516A"/>
                  <w:u w:val="single"/>
                </w:rPr>
                <w:t>b90ae4a</w:t>
              </w:r>
            </w:hyperlink>
          </w:p>
        </w:tc>
        <w:tc>
          <w:tcPr>
            <w:tcW w:type="dxa" w:w="7540"/>
            <w:vAlign w:val="center"/>
            <w:shd w:fill="FFFFFF"/>
            <w:tcMar>
              <w:top w:w="75" w:type="dxa"/>
              <w:bottom w:w="75" w:type="dxa"/>
              <w:left w:w="110" w:type="dxa"/>
              <w:right w:w="110" w:type="dxa"/>
            </w:tcMar>
          </w:tcPr>
          <w:p>
            <w:pPr>
              <w:spacing w:after="0" w:line="240" w:lineRule="auto"/>
            </w:pPr>
            <w:r>
              <w:rPr>
                <w:sz w:val="19"/>
              </w:rPr>
              <w:t>Fija versiones del servidor y actualiza Next.js.</w:t>
            </w:r>
          </w:p>
        </w:tc>
      </w:tr>
      <w:tr>
        <w:trPr>
          <w:cantSplit/>
        </w:trPr>
        <w:tc>
          <w:tcPr>
            <w:tcW w:type="dxa" w:w="850"/>
            <w:vAlign w:val="center"/>
            <w:shd w:fill="F2F5F7"/>
            <w:tcMar>
              <w:top w:w="75" w:type="dxa"/>
              <w:bottom w:w="75" w:type="dxa"/>
              <w:left w:w="110" w:type="dxa"/>
              <w:right w:w="110" w:type="dxa"/>
            </w:tcMar>
          </w:tcPr>
          <w:p>
            <w:pPr>
              <w:spacing w:after="0" w:line="240" w:lineRule="auto"/>
              <w:jc w:val="center"/>
            </w:pPr>
            <w:r>
              <w:rPr>
                <w:sz w:val="19"/>
              </w:rPr>
              <w:t>FD</w:t>
            </w:r>
          </w:p>
        </w:tc>
        <w:tc>
          <w:tcPr>
            <w:tcW w:type="dxa" w:w="1247"/>
            <w:vAlign w:val="center"/>
            <w:shd w:fill="F2F5F7"/>
            <w:tcMar>
              <w:top w:w="75" w:type="dxa"/>
              <w:bottom w:w="75" w:type="dxa"/>
              <w:left w:w="110" w:type="dxa"/>
              <w:right w:w="110" w:type="dxa"/>
            </w:tcMar>
          </w:tcPr>
          <w:p>
            <w:pPr>
              <w:spacing w:after="0" w:line="240" w:lineRule="auto"/>
              <w:jc w:val="center"/>
            </w:pPr>
            <w:hyperlink r:id="rId33">
              <w:r>
                <w:rPr>
                  <w:color w:val="17516A"/>
                  <w:u w:val="single"/>
                </w:rPr>
                <w:t>e4b3347</w:t>
              </w:r>
            </w:hyperlink>
          </w:p>
        </w:tc>
        <w:tc>
          <w:tcPr>
            <w:tcW w:type="dxa" w:w="7540"/>
            <w:vAlign w:val="center"/>
            <w:shd w:fill="F2F5F7"/>
            <w:tcMar>
              <w:top w:w="75" w:type="dxa"/>
              <w:bottom w:w="75" w:type="dxa"/>
              <w:left w:w="110" w:type="dxa"/>
              <w:right w:w="110" w:type="dxa"/>
            </w:tcMar>
          </w:tcPr>
          <w:p>
            <w:pPr>
              <w:spacing w:after="0" w:line="240" w:lineRule="auto"/>
            </w:pPr>
            <w:r>
              <w:rPr>
                <w:sz w:val="19"/>
              </w:rPr>
              <w:t>Registra evidencia de calidad, dependencias, controles e instalación.</w:t>
            </w:r>
          </w:p>
        </w:tc>
      </w:tr>
      <w:tr>
        <w:trPr>
          <w:cantSplit/>
        </w:trPr>
        <w:tc>
          <w:tcPr>
            <w:tcW w:type="dxa" w:w="850"/>
            <w:vAlign w:val="center"/>
            <w:shd w:fill="FFFFFF"/>
            <w:tcMar>
              <w:top w:w="75" w:type="dxa"/>
              <w:bottom w:w="75" w:type="dxa"/>
              <w:left w:w="110" w:type="dxa"/>
              <w:right w:w="110" w:type="dxa"/>
            </w:tcMar>
          </w:tcPr>
          <w:p>
            <w:pPr>
              <w:spacing w:after="0" w:line="240" w:lineRule="auto"/>
              <w:jc w:val="center"/>
            </w:pPr>
            <w:r>
              <w:rPr>
                <w:sz w:val="19"/>
              </w:rPr>
              <w:t>FD</w:t>
            </w:r>
          </w:p>
        </w:tc>
        <w:tc>
          <w:tcPr>
            <w:tcW w:type="dxa" w:w="1247"/>
            <w:vAlign w:val="center"/>
            <w:shd w:fill="FFFFFF"/>
            <w:tcMar>
              <w:top w:w="75" w:type="dxa"/>
              <w:bottom w:w="75" w:type="dxa"/>
              <w:left w:w="110" w:type="dxa"/>
              <w:right w:w="110" w:type="dxa"/>
            </w:tcMar>
          </w:tcPr>
          <w:p>
            <w:pPr>
              <w:spacing w:after="0" w:line="240" w:lineRule="auto"/>
              <w:jc w:val="center"/>
            </w:pPr>
            <w:hyperlink r:id="rId23">
              <w:r>
                <w:rPr>
                  <w:color w:val="17516A"/>
                  <w:u w:val="single"/>
                </w:rPr>
                <w:t>d33f4c1</w:t>
              </w:r>
            </w:hyperlink>
          </w:p>
        </w:tc>
        <w:tc>
          <w:tcPr>
            <w:tcW w:type="dxa" w:w="7540"/>
            <w:vAlign w:val="center"/>
            <w:shd w:fill="FFFFFF"/>
            <w:tcMar>
              <w:top w:w="75" w:type="dxa"/>
              <w:bottom w:w="75" w:type="dxa"/>
              <w:left w:w="110" w:type="dxa"/>
              <w:right w:w="110" w:type="dxa"/>
            </w:tcMar>
          </w:tcPr>
          <w:p>
            <w:pPr>
              <w:spacing w:after="0" w:line="240" w:lineRule="auto"/>
            </w:pPr>
            <w:r>
              <w:rPr>
                <w:sz w:val="19"/>
              </w:rPr>
              <w:t>Configura pruebas y revisiones automáticas en GitHub.</w:t>
            </w:r>
          </w:p>
        </w:tc>
      </w:tr>
      <w:tr>
        <w:trPr>
          <w:cantSplit/>
        </w:trPr>
        <w:tc>
          <w:tcPr>
            <w:tcW w:type="dxa" w:w="850"/>
            <w:vAlign w:val="center"/>
            <w:shd w:fill="F2F5F7"/>
            <w:tcMar>
              <w:top w:w="75" w:type="dxa"/>
              <w:bottom w:w="75" w:type="dxa"/>
              <w:left w:w="110" w:type="dxa"/>
              <w:right w:w="110" w:type="dxa"/>
            </w:tcMar>
          </w:tcPr>
          <w:p>
            <w:pPr>
              <w:spacing w:after="0" w:line="240" w:lineRule="auto"/>
              <w:jc w:val="center"/>
            </w:pPr>
            <w:r>
              <w:rPr>
                <w:sz w:val="19"/>
              </w:rPr>
              <w:t>FD</w:t>
            </w:r>
          </w:p>
        </w:tc>
        <w:tc>
          <w:tcPr>
            <w:tcW w:type="dxa" w:w="1247"/>
            <w:vAlign w:val="center"/>
            <w:shd w:fill="F2F5F7"/>
            <w:tcMar>
              <w:top w:w="75" w:type="dxa"/>
              <w:bottom w:w="75" w:type="dxa"/>
              <w:left w:w="110" w:type="dxa"/>
              <w:right w:w="110" w:type="dxa"/>
            </w:tcMar>
          </w:tcPr>
          <w:p>
            <w:pPr>
              <w:spacing w:after="0" w:line="240" w:lineRule="auto"/>
              <w:jc w:val="center"/>
            </w:pPr>
            <w:hyperlink r:id="rId18">
              <w:r>
                <w:rPr>
                  <w:color w:val="17516A"/>
                  <w:u w:val="single"/>
                </w:rPr>
                <w:t>af49943</w:t>
              </w:r>
            </w:hyperlink>
          </w:p>
        </w:tc>
        <w:tc>
          <w:tcPr>
            <w:tcW w:type="dxa" w:w="7540"/>
            <w:vAlign w:val="center"/>
            <w:shd w:fill="F2F5F7"/>
            <w:tcMar>
              <w:top w:w="75" w:type="dxa"/>
              <w:bottom w:w="75" w:type="dxa"/>
              <w:left w:w="110" w:type="dxa"/>
              <w:right w:w="110" w:type="dxa"/>
            </w:tcMar>
          </w:tcPr>
          <w:p>
            <w:pPr>
              <w:spacing w:after="0" w:line="240" w:lineRule="auto"/>
            </w:pPr>
            <w:r>
              <w:rPr>
                <w:sz w:val="19"/>
              </w:rPr>
              <w:t>Atiende los errores detectados por las herramientas de calidad del servidor.</w:t>
            </w:r>
          </w:p>
        </w:tc>
      </w:tr>
      <w:tr>
        <w:trPr>
          <w:cantSplit/>
        </w:trPr>
        <w:tc>
          <w:tcPr>
            <w:tcW w:type="dxa" w:w="850"/>
            <w:vAlign w:val="center"/>
            <w:shd w:fill="FFFFFF"/>
            <w:tcMar>
              <w:top w:w="75" w:type="dxa"/>
              <w:bottom w:w="75" w:type="dxa"/>
              <w:left w:w="110" w:type="dxa"/>
              <w:right w:w="110" w:type="dxa"/>
            </w:tcMar>
          </w:tcPr>
          <w:p>
            <w:pPr>
              <w:spacing w:after="0" w:line="240" w:lineRule="auto"/>
              <w:jc w:val="center"/>
            </w:pPr>
            <w:r>
              <w:rPr>
                <w:sz w:val="19"/>
              </w:rPr>
              <w:t>FD</w:t>
            </w:r>
          </w:p>
        </w:tc>
        <w:tc>
          <w:tcPr>
            <w:tcW w:type="dxa" w:w="1247"/>
            <w:vAlign w:val="center"/>
            <w:shd w:fill="FFFFFF"/>
            <w:tcMar>
              <w:top w:w="75" w:type="dxa"/>
              <w:bottom w:w="75" w:type="dxa"/>
              <w:left w:w="110" w:type="dxa"/>
              <w:right w:w="110" w:type="dxa"/>
            </w:tcMar>
          </w:tcPr>
          <w:p>
            <w:pPr>
              <w:spacing w:after="0" w:line="240" w:lineRule="auto"/>
              <w:jc w:val="center"/>
            </w:pPr>
            <w:hyperlink r:id="rId34">
              <w:r>
                <w:rPr>
                  <w:color w:val="17516A"/>
                  <w:u w:val="single"/>
                </w:rPr>
                <w:t>0544337</w:t>
              </w:r>
            </w:hyperlink>
          </w:p>
        </w:tc>
        <w:tc>
          <w:tcPr>
            <w:tcW w:type="dxa" w:w="7540"/>
            <w:vAlign w:val="center"/>
            <w:shd w:fill="FFFFFF"/>
            <w:tcMar>
              <w:top w:w="75" w:type="dxa"/>
              <w:bottom w:w="75" w:type="dxa"/>
              <w:left w:w="110" w:type="dxa"/>
              <w:right w:w="110" w:type="dxa"/>
            </w:tcMar>
          </w:tcPr>
          <w:p>
            <w:pPr>
              <w:spacing w:after="0" w:line="240" w:lineRule="auto"/>
            </w:pPr>
            <w:r>
              <w:rPr>
                <w:sz w:val="19"/>
              </w:rPr>
              <w:t>Documenta el diagnóstico, las migraciones y dos hallazgos pendientes.</w:t>
            </w:r>
          </w:p>
        </w:tc>
      </w:tr>
      <w:tr>
        <w:trPr>
          <w:cantSplit/>
        </w:trPr>
        <w:tc>
          <w:tcPr>
            <w:tcW w:type="dxa" w:w="850"/>
            <w:vAlign w:val="center"/>
            <w:shd w:fill="F2F5F7"/>
            <w:tcMar>
              <w:top w:w="75" w:type="dxa"/>
              <w:bottom w:w="75" w:type="dxa"/>
              <w:left w:w="110" w:type="dxa"/>
              <w:right w:w="110" w:type="dxa"/>
            </w:tcMar>
          </w:tcPr>
          <w:p>
            <w:pPr>
              <w:spacing w:after="0" w:line="240" w:lineRule="auto"/>
              <w:jc w:val="center"/>
            </w:pPr>
            <w:r>
              <w:rPr>
                <w:sz w:val="19"/>
              </w:rPr>
              <w:t>FD</w:t>
            </w:r>
          </w:p>
        </w:tc>
        <w:tc>
          <w:tcPr>
            <w:tcW w:type="dxa" w:w="1247"/>
            <w:vAlign w:val="center"/>
            <w:shd w:fill="F2F5F7"/>
            <w:tcMar>
              <w:top w:w="75" w:type="dxa"/>
              <w:bottom w:w="75" w:type="dxa"/>
              <w:left w:w="110" w:type="dxa"/>
              <w:right w:w="110" w:type="dxa"/>
            </w:tcMar>
          </w:tcPr>
          <w:p>
            <w:pPr>
              <w:spacing w:after="0" w:line="240" w:lineRule="auto"/>
              <w:jc w:val="center"/>
            </w:pPr>
            <w:hyperlink r:id="rId15">
              <w:r>
                <w:rPr>
                  <w:color w:val="17516A"/>
                  <w:u w:val="single"/>
                </w:rPr>
                <w:t>f5b3bf4</w:t>
              </w:r>
            </w:hyperlink>
          </w:p>
        </w:tc>
        <w:tc>
          <w:tcPr>
            <w:tcW w:type="dxa" w:w="7540"/>
            <w:vAlign w:val="center"/>
            <w:shd w:fill="F2F5F7"/>
            <w:tcMar>
              <w:top w:w="75" w:type="dxa"/>
              <w:bottom w:w="75" w:type="dxa"/>
              <w:left w:w="110" w:type="dxa"/>
              <w:right w:w="110" w:type="dxa"/>
            </w:tcMar>
          </w:tcPr>
          <w:p>
            <w:pPr>
              <w:spacing w:after="0" w:line="240" w:lineRule="auto"/>
            </w:pPr>
            <w:r>
              <w:rPr>
                <w:sz w:val="19"/>
              </w:rPr>
              <w:t>Introduce cambios de base de datos versionados con Alembic.</w:t>
            </w:r>
          </w:p>
        </w:tc>
      </w:tr>
      <w:tr>
        <w:trPr>
          <w:cantSplit/>
        </w:trPr>
        <w:tc>
          <w:tcPr>
            <w:tcW w:type="dxa" w:w="850"/>
            <w:vAlign w:val="center"/>
            <w:shd w:fill="FFFFFF"/>
            <w:tcMar>
              <w:top w:w="75" w:type="dxa"/>
              <w:bottom w:w="75" w:type="dxa"/>
              <w:left w:w="110" w:type="dxa"/>
              <w:right w:w="110" w:type="dxa"/>
            </w:tcMar>
          </w:tcPr>
          <w:p>
            <w:pPr>
              <w:spacing w:after="0" w:line="240" w:lineRule="auto"/>
              <w:jc w:val="center"/>
            </w:pPr>
            <w:r>
              <w:rPr>
                <w:sz w:val="19"/>
              </w:rPr>
              <w:t>FD</w:t>
            </w:r>
          </w:p>
        </w:tc>
        <w:tc>
          <w:tcPr>
            <w:tcW w:type="dxa" w:w="1247"/>
            <w:vAlign w:val="center"/>
            <w:shd w:fill="FFFFFF"/>
            <w:tcMar>
              <w:top w:w="75" w:type="dxa"/>
              <w:bottom w:w="75" w:type="dxa"/>
              <w:left w:w="110" w:type="dxa"/>
              <w:right w:w="110" w:type="dxa"/>
            </w:tcMar>
          </w:tcPr>
          <w:p>
            <w:pPr>
              <w:spacing w:after="0" w:line="240" w:lineRule="auto"/>
              <w:jc w:val="center"/>
            </w:pPr>
            <w:hyperlink r:id="rId17">
              <w:r>
                <w:rPr>
                  <w:color w:val="17516A"/>
                  <w:u w:val="single"/>
                </w:rPr>
                <w:t>664edc4</w:t>
              </w:r>
            </w:hyperlink>
          </w:p>
        </w:tc>
        <w:tc>
          <w:tcPr>
            <w:tcW w:type="dxa" w:w="7540"/>
            <w:vAlign w:val="center"/>
            <w:shd w:fill="FFFFFF"/>
            <w:tcMar>
              <w:top w:w="75" w:type="dxa"/>
              <w:bottom w:w="75" w:type="dxa"/>
              <w:left w:w="110" w:type="dxa"/>
              <w:right w:w="110" w:type="dxa"/>
            </w:tcMar>
          </w:tcPr>
          <w:p>
            <w:pPr>
              <w:spacing w:after="0" w:line="240" w:lineRule="auto"/>
            </w:pPr>
            <w:r>
              <w:rPr>
                <w:sz w:val="19"/>
              </w:rPr>
              <w:t>Configura las herramientas de revisión del código del servidor.</w:t>
            </w:r>
          </w:p>
        </w:tc>
      </w:tr>
      <w:tr>
        <w:trPr>
          <w:cantSplit/>
        </w:trPr>
        <w:tc>
          <w:tcPr>
            <w:tcW w:type="dxa" w:w="850"/>
            <w:vAlign w:val="center"/>
            <w:shd w:fill="F2F5F7"/>
            <w:tcMar>
              <w:top w:w="75" w:type="dxa"/>
              <w:bottom w:w="75" w:type="dxa"/>
              <w:left w:w="110" w:type="dxa"/>
              <w:right w:w="110" w:type="dxa"/>
            </w:tcMar>
          </w:tcPr>
          <w:p>
            <w:pPr>
              <w:spacing w:after="0" w:line="240" w:lineRule="auto"/>
              <w:jc w:val="center"/>
            </w:pPr>
            <w:r>
              <w:rPr>
                <w:sz w:val="19"/>
              </w:rPr>
              <w:t>FD</w:t>
            </w:r>
          </w:p>
        </w:tc>
        <w:tc>
          <w:tcPr>
            <w:tcW w:type="dxa" w:w="1247"/>
            <w:vAlign w:val="center"/>
            <w:shd w:fill="F2F5F7"/>
            <w:tcMar>
              <w:top w:w="75" w:type="dxa"/>
              <w:bottom w:w="75" w:type="dxa"/>
              <w:left w:w="110" w:type="dxa"/>
              <w:right w:w="110" w:type="dxa"/>
            </w:tcMar>
          </w:tcPr>
          <w:p>
            <w:pPr>
              <w:spacing w:after="0" w:line="240" w:lineRule="auto"/>
              <w:jc w:val="center"/>
            </w:pPr>
            <w:hyperlink r:id="rId16">
              <w:r>
                <w:rPr>
                  <w:color w:val="17516A"/>
                  <w:u w:val="single"/>
                </w:rPr>
                <w:t>e737310</w:t>
              </w:r>
            </w:hyperlink>
          </w:p>
        </w:tc>
        <w:tc>
          <w:tcPr>
            <w:tcW w:type="dxa" w:w="7540"/>
            <w:vAlign w:val="center"/>
            <w:shd w:fill="F2F5F7"/>
            <w:tcMar>
              <w:top w:w="75" w:type="dxa"/>
              <w:bottom w:w="75" w:type="dxa"/>
              <w:left w:w="110" w:type="dxa"/>
              <w:right w:w="110" w:type="dxa"/>
            </w:tcMar>
          </w:tcPr>
          <w:p>
            <w:pPr>
              <w:spacing w:after="0" w:line="240" w:lineRule="auto"/>
            </w:pPr>
            <w:r>
              <w:rPr>
                <w:sz w:val="19"/>
              </w:rPr>
              <w:t>Corrige el orden de creación y ajuste de tablas al arrancar.</w:t>
            </w:r>
          </w:p>
        </w:tc>
      </w:tr>
    </w:tbl>
    <w:p>
      <w:pPr>
        <w:spacing w:after="0"/>
      </w:pPr>
    </w:p>
    <w:p>
      <w:r>
        <w:t>Un commit es un cambio guardado en el historial. Los registros de asignación y documentación ayudan a coordinar el trabajo, pero no equivalen a nuevas funciones del producto.</w:t>
      </w:r>
    </w:p>
    <w:sectPr w:rsidR="00FC693F" w:rsidRPr="0006063C" w:rsidSect="00034616">
      <w:footerReference w:type="default" r:id="rId9"/>
      <w:pgSz w:w="11906" w:h="16838"/>
      <w:pgMar w:top="1020" w:right="1134" w:bottom="964" w:left="1134" w:header="720"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lang w:val="es-C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59" w:lineRule="auto"/>
      <w:outlineLvl w:val="0"/>
    </w:pPr>
    <w:rPr>
      <w:rFonts w:asciiTheme="majorHAnsi" w:eastAsiaTheme="majorEastAsia" w:hAnsiTheme="majorHAnsi" w:cstheme="majorBidi" w:ascii="Calibri" w:hAnsi="Calibri"/>
      <w:b/>
      <w:bCs/>
      <w:color w:val="000000"/>
      <w:sz w:val="38"/>
      <w:szCs w:val="28"/>
      <w:lang w:val="es-CL"/>
    </w:rPr>
  </w:style>
  <w:style w:type="paragraph" w:styleId="Heading2">
    <w:name w:val="heading 2"/>
    <w:basedOn w:val="Normal"/>
    <w:next w:val="Normal"/>
    <w:link w:val="Heading2Char"/>
    <w:uiPriority w:val="9"/>
    <w:unhideWhenUsed/>
    <w:qFormat/>
    <w:rsid w:val="00FC693F"/>
    <w:pPr>
      <w:keepNext/>
      <w:keepLines/>
      <w:spacing w:before="200" w:after="100" w:line="259" w:lineRule="auto"/>
      <w:outlineLvl w:val="1"/>
    </w:pPr>
    <w:rPr>
      <w:rFonts w:asciiTheme="majorHAnsi" w:eastAsiaTheme="majorEastAsia" w:hAnsiTheme="majorHAnsi" w:cstheme="majorBidi" w:ascii="Calibri" w:hAnsi="Calibri"/>
      <w:b/>
      <w:bCs/>
      <w:color w:val="000000"/>
      <w:sz w:val="26"/>
      <w:szCs w:val="26"/>
      <w:lang w:val="es-CL"/>
    </w:rPr>
  </w:style>
  <w:style w:type="paragraph" w:styleId="Heading3">
    <w:name w:val="heading 3"/>
    <w:basedOn w:val="Normal"/>
    <w:next w:val="Normal"/>
    <w:link w:val="Heading3Char"/>
    <w:uiPriority w:val="9"/>
    <w:unhideWhenUsed/>
    <w:qFormat/>
    <w:rsid w:val="00FC693F"/>
    <w:pPr>
      <w:keepNext/>
      <w:keepLines/>
      <w:spacing w:before="200" w:after="140" w:line="259" w:lineRule="auto"/>
      <w:outlineLvl w:val="2"/>
    </w:pPr>
    <w:rPr>
      <w:rFonts w:asciiTheme="majorHAnsi" w:eastAsiaTheme="majorEastAsia" w:hAnsiTheme="majorHAnsi" w:cstheme="majorBidi" w:ascii="Calibri" w:hAnsi="Calibri"/>
      <w:b/>
      <w:bCs/>
      <w:color w:val="000000"/>
      <w:sz w:val="22"/>
      <w:lang w:val="es-C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59" w:lineRule="auto"/>
      <w:contextualSpacing/>
    </w:pPr>
    <w:rPr>
      <w:rFonts w:asciiTheme="majorHAnsi" w:eastAsiaTheme="majorEastAsia" w:hAnsiTheme="majorHAnsi" w:cstheme="majorBidi" w:ascii="Calibri" w:hAnsi="Calibri"/>
      <w:b/>
      <w:color w:val="000000"/>
      <w:spacing w:val="5"/>
      <w:kern w:val="28"/>
      <w:sz w:val="52"/>
      <w:szCs w:val="52"/>
      <w:lang w:val="es-C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40" w:line="259" w:lineRule="auto"/>
    </w:pPr>
    <w:rPr>
      <w:rFonts w:asciiTheme="majorHAnsi" w:eastAsiaTheme="majorEastAsia" w:hAnsiTheme="majorHAnsi" w:cstheme="majorBidi" w:ascii="Calibri" w:hAnsi="Calibri"/>
      <w:i/>
      <w:iCs/>
      <w:color w:val="000000"/>
      <w:spacing w:val="15"/>
      <w:sz w:val="22"/>
      <w:szCs w:val="24"/>
      <w:lang w:val="es-C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59" w:lineRule="auto"/>
      <w:contextualSpacing/>
    </w:pPr>
    <w:rPr>
      <w:rFonts w:ascii="Calibri" w:hAnsi="Calibri"/>
      <w:color w:val="000000"/>
      <w:sz w:val="22"/>
      <w:lang w:val="es-C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Xamppy/Project-Dossier/commit/dc80f9d" TargetMode="External"/><Relationship Id="rId11" Type="http://schemas.openxmlformats.org/officeDocument/2006/relationships/hyperlink" Target="https://github.com/Xamppy/Project-Dossier/commit/1ddaa8d" TargetMode="External"/><Relationship Id="rId12" Type="http://schemas.openxmlformats.org/officeDocument/2006/relationships/hyperlink" Target="https://github.com/Xamppy/Project-Dossier/commit/4139a97" TargetMode="External"/><Relationship Id="rId13" Type="http://schemas.openxmlformats.org/officeDocument/2006/relationships/hyperlink" Target="https://github.com/Xamppy/Project-Dossier/commit/c54ad2a" TargetMode="External"/><Relationship Id="rId14" Type="http://schemas.openxmlformats.org/officeDocument/2006/relationships/hyperlink" Target="https://github.com/Xamppy/Project-Dossier/commit/8b0bc1b" TargetMode="External"/><Relationship Id="rId15" Type="http://schemas.openxmlformats.org/officeDocument/2006/relationships/hyperlink" Target="https://github.com/Xamppy/Project-Dossier/commit/f5b3bf4" TargetMode="External"/><Relationship Id="rId16" Type="http://schemas.openxmlformats.org/officeDocument/2006/relationships/hyperlink" Target="https://github.com/Xamppy/Project-Dossier/commit/e737310" TargetMode="External"/><Relationship Id="rId17" Type="http://schemas.openxmlformats.org/officeDocument/2006/relationships/hyperlink" Target="https://github.com/Xamppy/Project-Dossier/commit/664edc4" TargetMode="External"/><Relationship Id="rId18" Type="http://schemas.openxmlformats.org/officeDocument/2006/relationships/hyperlink" Target="https://github.com/Xamppy/Project-Dossier/commit/af49943" TargetMode="External"/><Relationship Id="rId19" Type="http://schemas.openxmlformats.org/officeDocument/2006/relationships/hyperlink" Target="https://github.com/Xamppy/Project-Dossier/commit/2e69f71" TargetMode="External"/><Relationship Id="rId20" Type="http://schemas.openxmlformats.org/officeDocument/2006/relationships/hyperlink" Target="https://github.com/Xamppy/Project-Dossier/commit/b3455dc" TargetMode="External"/><Relationship Id="rId21" Type="http://schemas.openxmlformats.org/officeDocument/2006/relationships/hyperlink" Target="https://github.com/Xamppy/Project-Dossier/commit/b90ae4a" TargetMode="External"/><Relationship Id="rId22" Type="http://schemas.openxmlformats.org/officeDocument/2006/relationships/hyperlink" Target="https://github.com/Xamppy/Project-Dossier/commit/168e9c1" TargetMode="External"/><Relationship Id="rId23" Type="http://schemas.openxmlformats.org/officeDocument/2006/relationships/hyperlink" Target="https://github.com/Xamppy/Project-Dossier/commit/d33f4c1" TargetMode="External"/><Relationship Id="rId24" Type="http://schemas.openxmlformats.org/officeDocument/2006/relationships/hyperlink" Target="https://github.com/Xamppy/Project-Dossier/blob/4139a9744bd6c38cfb5c6a3ae554d9b388b79bad/docs/dev/tarea-A3-consolidacion-base-tecnica.md" TargetMode="External"/><Relationship Id="rId25" Type="http://schemas.openxmlformats.org/officeDocument/2006/relationships/hyperlink" Target="https://github.com/Xamppy/Project-Dossier/blob/4139a9744bd6c38cfb5c6a3ae554d9b388b79bad/docs/dev/local-setup.md" TargetMode="External"/><Relationship Id="rId26" Type="http://schemas.openxmlformats.org/officeDocument/2006/relationships/hyperlink" Target="https://github.com/Xamppy/Project-Dossier/blob/4139a9744bd6c38cfb5c6a3ae554d9b388b79bad/.harness/progress.md" TargetMode="External"/><Relationship Id="rId27" Type="http://schemas.openxmlformats.org/officeDocument/2006/relationships/hyperlink" Target="https://github.com/Xamppy/Project-Dossier/blob/4139a9744bd6c38cfb5c6a3ae554d9b388b79bad/specs/proposals/S0.9-esquema-json-dossier.md" TargetMode="External"/><Relationship Id="rId28" Type="http://schemas.openxmlformats.org/officeDocument/2006/relationships/hyperlink" Target="https://github.com/Xamppy/Project-Dossier/blob/4139a9744bd6c38cfb5c6a3ae554d9b388b79bad/docs/architecture/estrategia-migracion-modelo-datos.md" TargetMode="External"/><Relationship Id="rId29" Type="http://schemas.openxmlformats.org/officeDocument/2006/relationships/hyperlink" Target="https://github.com/Xamppy/Project-Dossier/commit/fc04233" TargetMode="External"/><Relationship Id="rId30" Type="http://schemas.openxmlformats.org/officeDocument/2006/relationships/hyperlink" Target="https://github.com/Xamppy/Project-Dossier/commit/c33b557" TargetMode="External"/><Relationship Id="rId31" Type="http://schemas.openxmlformats.org/officeDocument/2006/relationships/hyperlink" Target="https://github.com/Xamppy/Project-Dossier/commit/888af8a" TargetMode="External"/><Relationship Id="rId32" Type="http://schemas.openxmlformats.org/officeDocument/2006/relationships/hyperlink" Target="https://github.com/Xamppy/Project-Dossier/commit/07e4c0a" TargetMode="External"/><Relationship Id="rId33" Type="http://schemas.openxmlformats.org/officeDocument/2006/relationships/hyperlink" Target="https://github.com/Xamppy/Project-Dossier/commit/e4b3347" TargetMode="External"/><Relationship Id="rId34" Type="http://schemas.openxmlformats.org/officeDocument/2006/relationships/hyperlink" Target="https://github.com/Xamppy/Project-Dossier/commit/05443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Avances de Felipe Orellana y Felipe Docmac</dc:title>
  <dc:subject>Últimos 20 commits de Felipe Orellana y Felipe Docmac al 4 de octubre de 2026</dc:subject>
  <dc:creator>Codex</dc:creator>
  <cp:keywords/>
  <dc:description>generated by python-docx</dc:description>
  <cp:lastModifiedBy/>
  <cp:revision>1</cp:revision>
  <dcterms:created xsi:type="dcterms:W3CDTF">2026-10-04T23:00:00Z</dcterms:created>
  <dcterms:modified xsi:type="dcterms:W3CDTF">2026-10-04T23:00:00Z</dcterms:modified>
  <cp:category/>
</cp:coreProperties>
</file>