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 xml:space="preserve">-type. Below shows an example of an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8D49A0" w:rsidP="002747B4">
      <w:pPr>
        <w:spacing w:line="360" w:lineRule="auto"/>
        <w:rPr>
          <w:rFonts w:ascii="Times New Roman" w:hAnsi="Times New Roman" w:cs="Times New Roman"/>
          <w:sz w:val="24"/>
          <w:szCs w:val="32"/>
        </w:rPr>
      </w:pPr>
      <w:r>
        <w:rPr>
          <w:rFonts w:ascii="Times New Roman" w:hAnsi="Times New Roman" w:cs="Times New Roman"/>
          <w:noProof/>
          <w:sz w:val="24"/>
          <w:szCs w:val="32"/>
        </w:rPr>
        <w:pict>
          <v:oval id="_x0000_s1031" style="position:absolute;margin-left:128.25pt;margin-top:1.75pt;width:11.25pt;height:10.5pt;z-index:251663360" fillcolor="black [3213]"/>
        </w:pict>
      </w:r>
      <w:r>
        <w:rPr>
          <w:rFonts w:ascii="Times New Roman" w:hAnsi="Times New Roman" w:cs="Times New Roman"/>
          <w:noProof/>
          <w:sz w:val="24"/>
          <w:szCs w:val="32"/>
        </w:rPr>
        <w:pict>
          <v:oval id="_x0000_s1026" style="position:absolute;margin-left:21.75pt;margin-top:1pt;width:11.25pt;height:11.25pt;z-index:251658240"/>
        </w:pict>
      </w:r>
      <w:r>
        <w:rPr>
          <w:rFonts w:ascii="Times New Roman" w:hAnsi="Times New Roman" w:cs="Times New Roman"/>
          <w:noProof/>
          <w:sz w:val="24"/>
          <w:szCs w:val="32"/>
        </w:rPr>
        <w:pict>
          <v:oval id="_x0000_s1030" style="position:absolute;margin-left:344.25pt;margin-top:1.75pt;width:11.25pt;height:11.25pt;z-index:251662336"/>
        </w:pict>
      </w:r>
      <w:r>
        <w:rPr>
          <w:rFonts w:ascii="Times New Roman" w:hAnsi="Times New Roman" w:cs="Times New Roman"/>
          <w:noProof/>
          <w:sz w:val="24"/>
          <w:szCs w:val="32"/>
        </w:rPr>
        <w:pict>
          <v:oval id="_x0000_s1029" style="position:absolute;margin-left:267.75pt;margin-top:1.75pt;width:11.25pt;height:11.25pt;z-index:251661312"/>
        </w:pict>
      </w:r>
      <w:r>
        <w:rPr>
          <w:rFonts w:ascii="Times New Roman" w:hAnsi="Times New Roman" w:cs="Times New Roman"/>
          <w:noProof/>
          <w:sz w:val="24"/>
          <w:szCs w:val="32"/>
        </w:rPr>
        <w:pict>
          <v:oval id="_x0000_s1028" style="position:absolute;margin-left:199.5pt;margin-top:1.75pt;width:11.25pt;height:11.25pt;z-index:251660288"/>
        </w:pict>
      </w:r>
      <w:r>
        <w:rPr>
          <w:rFonts w:ascii="Times New Roman" w:hAnsi="Times New Roman" w:cs="Times New Roman"/>
          <w:noProof/>
          <w:sz w:val="24"/>
          <w:szCs w:val="32"/>
        </w:rPr>
        <w:pict>
          <v:oval id="_x0000_s1027" style="position:absolute;margin-left:128.25pt;margin-top:1pt;width:11.25pt;height:11.25pt;z-index:251659264"/>
        </w:pict>
      </w:r>
      <w:r>
        <w:rPr>
          <w:rFonts w:ascii="Times New Roman" w:hAnsi="Times New Roman" w:cs="Times New Roman"/>
          <w:sz w:val="24"/>
          <w:szCs w:val="32"/>
        </w:rPr>
        <w:t xml:space="preserve"> </w:t>
      </w:r>
      <w:r>
        <w:rPr>
          <w:rFonts w:ascii="Times New Roman" w:hAnsi="Times New Roman" w:cs="Times New Roman"/>
          <w:sz w:val="24"/>
          <w:szCs w:val="32"/>
        </w:rPr>
        <w:tab/>
        <w:t>Strongly Agree</w:t>
      </w:r>
      <w:r>
        <w:rPr>
          <w:rFonts w:ascii="Times New Roman" w:hAnsi="Times New Roman" w:cs="Times New Roman"/>
          <w:sz w:val="24"/>
          <w:szCs w:val="32"/>
        </w:rPr>
        <w:tab/>
        <w:t>Agree</w:t>
      </w:r>
      <w:r>
        <w:rPr>
          <w:rFonts w:ascii="Times New Roman" w:hAnsi="Times New Roman" w:cs="Times New Roman"/>
          <w:sz w:val="24"/>
          <w:szCs w:val="32"/>
        </w:rPr>
        <w:tab/>
      </w:r>
      <w:r>
        <w:rPr>
          <w:rFonts w:ascii="Times New Roman" w:hAnsi="Times New Roman" w:cs="Times New Roman"/>
          <w:sz w:val="24"/>
          <w:szCs w:val="32"/>
        </w:rPr>
        <w:tab/>
        <w:t>Neutral</w:t>
      </w:r>
      <w:r>
        <w:rPr>
          <w:rFonts w:ascii="Times New Roman" w:hAnsi="Times New Roman" w:cs="Times New Roman"/>
          <w:sz w:val="24"/>
          <w:szCs w:val="32"/>
        </w:rPr>
        <w:tab/>
      </w:r>
      <w:r>
        <w:rPr>
          <w:rFonts w:ascii="Times New Roman" w:hAnsi="Times New Roman" w:cs="Times New Roman"/>
          <w:sz w:val="24"/>
          <w:szCs w:val="32"/>
        </w:rPr>
        <w:tab/>
        <w:t>Disagree</w:t>
      </w:r>
      <w:r>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lastRenderedPageBreak/>
        <w:t>Results</w:t>
      </w:r>
    </w:p>
    <w:p w:rsidR="00BF1786" w:rsidRP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Contribution of Paper</w:t>
      </w:r>
    </w:p>
    <w:p w:rsidR="00036557"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036557" w:rsidRDefault="00036557"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challenges for this research and experiment is the gathering of the data. </w:t>
      </w:r>
    </w:p>
    <w:p w:rsidR="00036557" w:rsidRDefault="0003655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935B5E"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935B5E"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6F1116" w:rsidRPr="006F1116" w:rsidRDefault="006F1116" w:rsidP="00F7424A">
      <w:pPr>
        <w:spacing w:line="360" w:lineRule="auto"/>
        <w:rPr>
          <w:rFonts w:ascii="Times New Roman" w:hAnsi="Times New Roman" w:cs="Times New Roman"/>
          <w:sz w:val="32"/>
          <w:szCs w:val="32"/>
        </w:rPr>
      </w:pPr>
      <w:r w:rsidRPr="006F1116">
        <w:rPr>
          <w:rFonts w:ascii="Times New Roman" w:hAnsi="Times New Roman" w:cs="Times New Roman"/>
          <w:sz w:val="32"/>
          <w:szCs w:val="32"/>
        </w:rPr>
        <w:t>http://www.healthknowledge.org.uk/e-learning/epidemiology/practitioners/introduction-study-design-css</w:t>
      </w: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34F" w:rsidRDefault="00E0334F" w:rsidP="004B15F6">
      <w:pPr>
        <w:spacing w:after="0" w:line="240" w:lineRule="auto"/>
      </w:pPr>
      <w:r>
        <w:separator/>
      </w:r>
    </w:p>
  </w:endnote>
  <w:endnote w:type="continuationSeparator" w:id="0">
    <w:p w:rsidR="00E0334F" w:rsidRDefault="00E0334F"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34F" w:rsidRDefault="00E0334F" w:rsidP="004B15F6">
      <w:pPr>
        <w:spacing w:after="0" w:line="240" w:lineRule="auto"/>
      </w:pPr>
      <w:r>
        <w:separator/>
      </w:r>
    </w:p>
  </w:footnote>
  <w:footnote w:type="continuationSeparator" w:id="0">
    <w:p w:rsidR="00E0334F" w:rsidRDefault="00E0334F" w:rsidP="004B1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colormenu v:ext="edit" fillcolor="none [3213]"/>
    </o:shapedefaults>
  </w:hdrShapeDefaults>
  <w:footnotePr>
    <w:footnote w:id="-1"/>
    <w:footnote w:id="0"/>
  </w:footnotePr>
  <w:endnotePr>
    <w:endnote w:id="-1"/>
    <w:endnote w:id="0"/>
  </w:endnotePr>
  <w:compat>
    <w:useFELayout/>
  </w:compat>
  <w:rsids>
    <w:rsidRoot w:val="00BF1786"/>
    <w:rsid w:val="00036557"/>
    <w:rsid w:val="00174219"/>
    <w:rsid w:val="00235926"/>
    <w:rsid w:val="00260541"/>
    <w:rsid w:val="002747B4"/>
    <w:rsid w:val="00327D8F"/>
    <w:rsid w:val="004710B0"/>
    <w:rsid w:val="004B15F6"/>
    <w:rsid w:val="00596118"/>
    <w:rsid w:val="00690D34"/>
    <w:rsid w:val="006F1116"/>
    <w:rsid w:val="008D3154"/>
    <w:rsid w:val="008D49A0"/>
    <w:rsid w:val="00914DDC"/>
    <w:rsid w:val="00935B5E"/>
    <w:rsid w:val="00A8294F"/>
    <w:rsid w:val="00BF1786"/>
    <w:rsid w:val="00C06C0B"/>
    <w:rsid w:val="00CA0615"/>
    <w:rsid w:val="00CB3771"/>
    <w:rsid w:val="00D2505A"/>
    <w:rsid w:val="00D43927"/>
    <w:rsid w:val="00E00AB2"/>
    <w:rsid w:val="00E0334F"/>
    <w:rsid w:val="00E7180F"/>
    <w:rsid w:val="00F12784"/>
    <w:rsid w:val="00F7424A"/>
    <w:rsid w:val="00FB3BF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2351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925559EC-81D7-4B3E-912B-C26B8834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15</cp:revision>
  <dcterms:created xsi:type="dcterms:W3CDTF">2016-03-31T15:09:00Z</dcterms:created>
  <dcterms:modified xsi:type="dcterms:W3CDTF">2016-04-06T16:24:00Z</dcterms:modified>
</cp:coreProperties>
</file>