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C4515" w14:textId="77777777" w:rsidR="00A42F91" w:rsidRDefault="00000000">
      <w:pPr>
        <w:pStyle w:val="Heading1"/>
      </w:pPr>
      <w:r>
        <w:t>Mathematical Models in Microbial Growth and Bioflocculant Production</w:t>
      </w:r>
    </w:p>
    <w:p w14:paraId="7A330E38" w14:textId="77777777" w:rsidR="00A42F91" w:rsidRDefault="00000000">
      <w:pPr>
        <w:pStyle w:val="Heading2"/>
      </w:pPr>
      <w:r>
        <w:t>Introduction</w:t>
      </w:r>
    </w:p>
    <w:p w14:paraId="13B56126" w14:textId="77777777" w:rsidR="00A42F91" w:rsidRDefault="00000000">
      <w:r>
        <w:br/>
        <w:t>This document discusses the mathematical models used to describe microbial growth, bioflocculant production, and substrate consumption in fermentation studies. The models analyzed include the Logistic Growth Model, Luedeking-Piret Model, and Monod Model. These models provide insights into microbial kinetics and help optimize biotechnological processes.</w:t>
      </w:r>
      <w:r>
        <w:br/>
      </w:r>
    </w:p>
    <w:p w14:paraId="305CAA60" w14:textId="77777777" w:rsidR="00A42F91" w:rsidRDefault="00000000">
      <w:pPr>
        <w:pStyle w:val="Heading2"/>
      </w:pPr>
      <w:r>
        <w:t>1. Logistic Growth Model</w:t>
      </w:r>
    </w:p>
    <w:p w14:paraId="0F02FDE8" w14:textId="77777777" w:rsidR="0071773A" w:rsidRPr="0071773A" w:rsidRDefault="00000000" w:rsidP="0071773A">
      <w:r>
        <w:br/>
        <w:t>The Logistic Growth Model describes microbial population growth with a carrying capacity. It is given by:</w:t>
      </w:r>
      <w:r>
        <w:br/>
      </w:r>
      <w:r>
        <w:br/>
      </w:r>
      <w:r w:rsidR="0071773A" w:rsidRPr="0071773A">
        <w:t>The </w:t>
      </w:r>
      <w:r w:rsidR="0071773A" w:rsidRPr="0071773A">
        <w:rPr>
          <w:b/>
          <w:bCs/>
        </w:rPr>
        <w:t>Logistic Growth Model</w:t>
      </w:r>
      <w:r w:rsidR="0071773A" w:rsidRPr="0071773A">
        <w:t> was used to describe the microbial cell growth dynamics over time. The model is given by:</w:t>
      </w:r>
    </w:p>
    <w:p w14:paraId="00D36987" w14:textId="72105C67" w:rsidR="0071773A" w:rsidRPr="0071773A" w:rsidRDefault="00A80A03" w:rsidP="0071773A">
      <w:pPr>
        <w:rPr>
          <w:b/>
          <w:bCs/>
        </w:rPr>
      </w:pPr>
      <w:r w:rsidRPr="00A80A03">
        <w:rPr>
          <w:b/>
          <w:bCs/>
        </w:rPr>
        <w:t xml:space="preserve">                                           </w:t>
      </w:r>
      <w:r w:rsidR="0071773A" w:rsidRPr="0071773A">
        <w:rPr>
          <w:b/>
          <w:bCs/>
        </w:rPr>
        <w:t>X(t)=K</w:t>
      </w:r>
      <w:r w:rsidR="00BF3A8E">
        <w:rPr>
          <w:b/>
          <w:bCs/>
        </w:rPr>
        <w:t>/</w:t>
      </w:r>
      <w:r w:rsidR="0071773A" w:rsidRPr="0071773A">
        <w:rPr>
          <w:b/>
          <w:bCs/>
        </w:rPr>
        <w:t>1+(K−N0</w:t>
      </w:r>
      <w:r w:rsidR="00BF3A8E">
        <w:rPr>
          <w:b/>
          <w:bCs/>
        </w:rPr>
        <w:t>/</w:t>
      </w:r>
      <w:r w:rsidR="0071773A" w:rsidRPr="0071773A">
        <w:rPr>
          <w:b/>
          <w:bCs/>
        </w:rPr>
        <w:t>N</w:t>
      </w:r>
      <w:proofErr w:type="gramStart"/>
      <w:r w:rsidR="0071773A" w:rsidRPr="0071773A">
        <w:rPr>
          <w:b/>
          <w:bCs/>
        </w:rPr>
        <w:t>0)e</w:t>
      </w:r>
      <w:proofErr w:type="gramEnd"/>
      <w:r w:rsidR="0071773A" w:rsidRPr="0071773A">
        <w:rPr>
          <w:b/>
          <w:bCs/>
        </w:rPr>
        <w:t>−rt</w:t>
      </w:r>
    </w:p>
    <w:p w14:paraId="49841504" w14:textId="77777777" w:rsidR="0071773A" w:rsidRPr="0071773A" w:rsidRDefault="0071773A" w:rsidP="0071773A">
      <w:r w:rsidRPr="0071773A">
        <w:t>where:</w:t>
      </w:r>
    </w:p>
    <w:p w14:paraId="6B272467" w14:textId="35585C8A" w:rsidR="0071773A" w:rsidRPr="0071773A" w:rsidRDefault="0071773A" w:rsidP="0071773A">
      <w:pPr>
        <w:numPr>
          <w:ilvl w:val="0"/>
          <w:numId w:val="10"/>
        </w:numPr>
      </w:pPr>
      <w:r w:rsidRPr="0071773A">
        <w:rPr>
          <w:i/>
          <w:iCs/>
        </w:rPr>
        <w:t>X</w:t>
      </w:r>
      <w:r w:rsidRPr="0071773A">
        <w:t>(</w:t>
      </w:r>
      <w:r w:rsidRPr="0071773A">
        <w:rPr>
          <w:i/>
          <w:iCs/>
        </w:rPr>
        <w:t>t</w:t>
      </w:r>
      <w:r w:rsidRPr="0071773A">
        <w:t>) = Biomass concentration at time </w:t>
      </w:r>
      <w:proofErr w:type="spellStart"/>
      <w:r w:rsidRPr="0071773A">
        <w:t>t</w:t>
      </w:r>
      <w:r w:rsidRPr="0071773A">
        <w:rPr>
          <w:i/>
          <w:iCs/>
        </w:rPr>
        <w:t>t</w:t>
      </w:r>
      <w:proofErr w:type="spellEnd"/>
      <w:r w:rsidRPr="0071773A">
        <w:t> (mg/mL),</w:t>
      </w:r>
    </w:p>
    <w:p w14:paraId="57AC6293" w14:textId="3C89DFC7" w:rsidR="0071773A" w:rsidRPr="0071773A" w:rsidRDefault="0071773A" w:rsidP="0071773A">
      <w:pPr>
        <w:numPr>
          <w:ilvl w:val="0"/>
          <w:numId w:val="10"/>
        </w:numPr>
      </w:pPr>
      <w:r w:rsidRPr="0071773A">
        <w:rPr>
          <w:i/>
          <w:iCs/>
        </w:rPr>
        <w:t>K</w:t>
      </w:r>
      <w:r w:rsidRPr="0071773A">
        <w:t> = Carrying capacity (maximum biomass concentration),</w:t>
      </w:r>
    </w:p>
    <w:p w14:paraId="0B4E959F" w14:textId="00EE462B" w:rsidR="0071773A" w:rsidRPr="0071773A" w:rsidRDefault="0071773A" w:rsidP="0071773A">
      <w:pPr>
        <w:numPr>
          <w:ilvl w:val="0"/>
          <w:numId w:val="10"/>
        </w:numPr>
      </w:pPr>
      <w:r w:rsidRPr="0071773A">
        <w:rPr>
          <w:i/>
          <w:iCs/>
        </w:rPr>
        <w:t>N</w:t>
      </w:r>
      <w:r w:rsidRPr="0071773A">
        <w:t>0​ = Initial biomass concentration,</w:t>
      </w:r>
    </w:p>
    <w:p w14:paraId="60CE9DAC" w14:textId="1FE3DBAF" w:rsidR="0071773A" w:rsidRPr="0071773A" w:rsidRDefault="0071773A" w:rsidP="0071773A">
      <w:pPr>
        <w:numPr>
          <w:ilvl w:val="0"/>
          <w:numId w:val="10"/>
        </w:numPr>
      </w:pPr>
      <w:r w:rsidRPr="0071773A">
        <w:rPr>
          <w:i/>
          <w:iCs/>
        </w:rPr>
        <w:t>r</w:t>
      </w:r>
      <w:r w:rsidRPr="0071773A">
        <w:t> = Growth rate constant.</w:t>
      </w:r>
    </w:p>
    <w:p w14:paraId="7183B010" w14:textId="77777777" w:rsidR="0071773A" w:rsidRPr="0071773A" w:rsidRDefault="0071773A" w:rsidP="0071773A">
      <w:r w:rsidRPr="0071773A">
        <w:rPr>
          <w:b/>
          <w:bCs/>
        </w:rPr>
        <w:t>Key Findings</w:t>
      </w:r>
      <w:r w:rsidRPr="0071773A">
        <w:t>:</w:t>
      </w:r>
    </w:p>
    <w:p w14:paraId="64065B2F" w14:textId="77777777" w:rsidR="0071773A" w:rsidRPr="0071773A" w:rsidRDefault="0071773A" w:rsidP="0071773A">
      <w:pPr>
        <w:numPr>
          <w:ilvl w:val="0"/>
          <w:numId w:val="11"/>
        </w:numPr>
      </w:pPr>
      <w:r w:rsidRPr="0071773A">
        <w:t>The model provided an excellent fit to the experimental data, confirming the </w:t>
      </w:r>
      <w:r w:rsidRPr="0071773A">
        <w:rPr>
          <w:b/>
          <w:bCs/>
        </w:rPr>
        <w:t>sigmoidal growth pattern</w:t>
      </w:r>
      <w:r w:rsidRPr="0071773A">
        <w:t> typical of microbial populations.</w:t>
      </w:r>
    </w:p>
    <w:p w14:paraId="62E50033" w14:textId="036F7AB5" w:rsidR="0071773A" w:rsidRPr="0071773A" w:rsidRDefault="0071773A" w:rsidP="0071773A">
      <w:pPr>
        <w:numPr>
          <w:ilvl w:val="0"/>
          <w:numId w:val="11"/>
        </w:numPr>
      </w:pPr>
      <w:r w:rsidRPr="0071773A">
        <w:t>The </w:t>
      </w:r>
      <w:r w:rsidRPr="0071773A">
        <w:rPr>
          <w:b/>
          <w:bCs/>
        </w:rPr>
        <w:t>carrying capacity (</w:t>
      </w:r>
      <w:r w:rsidRPr="0071773A">
        <w:rPr>
          <w:b/>
          <w:bCs/>
          <w:i/>
          <w:iCs/>
        </w:rPr>
        <w:t>K</w:t>
      </w:r>
      <w:r w:rsidRPr="0071773A">
        <w:rPr>
          <w:b/>
          <w:bCs/>
        </w:rPr>
        <w:t>)</w:t>
      </w:r>
      <w:r w:rsidRPr="0071773A">
        <w:t> was estimated to be </w:t>
      </w:r>
      <w:r w:rsidRPr="0071773A">
        <w:rPr>
          <w:b/>
          <w:bCs/>
        </w:rPr>
        <w:t>0.7985 mg/mL</w:t>
      </w:r>
      <w:r w:rsidRPr="0071773A">
        <w:t>, indicating the maximum biomass concentration the system could support.</w:t>
      </w:r>
    </w:p>
    <w:p w14:paraId="06459479" w14:textId="66C312B8" w:rsidR="0071773A" w:rsidRPr="0071773A" w:rsidRDefault="0071773A" w:rsidP="0071773A">
      <w:pPr>
        <w:numPr>
          <w:ilvl w:val="0"/>
          <w:numId w:val="11"/>
        </w:numPr>
      </w:pPr>
      <w:r w:rsidRPr="0071773A">
        <w:t>The </w:t>
      </w:r>
      <w:r w:rsidRPr="0071773A">
        <w:rPr>
          <w:b/>
          <w:bCs/>
        </w:rPr>
        <w:t>growth rate constant (r)</w:t>
      </w:r>
      <w:r w:rsidRPr="0071773A">
        <w:t> was found to be </w:t>
      </w:r>
      <w:r w:rsidRPr="0071773A">
        <w:rPr>
          <w:b/>
          <w:bCs/>
        </w:rPr>
        <w:t>1.1462 per hour</w:t>
      </w:r>
      <w:r w:rsidRPr="0071773A">
        <w:t>, reflecting the rapid growth during the exponential phase.</w:t>
      </w:r>
    </w:p>
    <w:p w14:paraId="365DA7AC" w14:textId="1F9E2C35" w:rsidR="0071773A" w:rsidRPr="0071773A" w:rsidRDefault="0071773A" w:rsidP="0071773A">
      <w:pPr>
        <w:numPr>
          <w:ilvl w:val="0"/>
          <w:numId w:val="11"/>
        </w:numPr>
      </w:pPr>
      <w:r w:rsidRPr="0071773A">
        <w:t>The </w:t>
      </w:r>
      <w:r w:rsidRPr="0071773A">
        <w:rPr>
          <w:b/>
          <w:bCs/>
        </w:rPr>
        <w:t>initial biomass concentration (</w:t>
      </w:r>
      <w:r w:rsidRPr="0071773A">
        <w:rPr>
          <w:b/>
          <w:bCs/>
          <w:i/>
          <w:iCs/>
        </w:rPr>
        <w:t>N</w:t>
      </w:r>
      <w:r w:rsidRPr="0071773A">
        <w:rPr>
          <w:b/>
          <w:bCs/>
        </w:rPr>
        <w:t>0​)</w:t>
      </w:r>
      <w:r w:rsidRPr="0071773A">
        <w:t> was </w:t>
      </w:r>
      <w:r w:rsidRPr="0071773A">
        <w:rPr>
          <w:b/>
          <w:bCs/>
        </w:rPr>
        <w:t>0.2806 mg/mL</w:t>
      </w:r>
      <w:r w:rsidRPr="0071773A">
        <w:t>, consistent with the starting conditions of the experiment.</w:t>
      </w:r>
    </w:p>
    <w:p w14:paraId="41F6306D" w14:textId="77777777" w:rsidR="0071773A" w:rsidRPr="0071773A" w:rsidRDefault="0071773A" w:rsidP="0071773A">
      <w:r w:rsidRPr="0071773A">
        <w:rPr>
          <w:b/>
          <w:bCs/>
        </w:rPr>
        <w:lastRenderedPageBreak/>
        <w:t>Implications</w:t>
      </w:r>
      <w:r w:rsidRPr="0071773A">
        <w:t>:</w:t>
      </w:r>
    </w:p>
    <w:p w14:paraId="1CAC8F41" w14:textId="77777777" w:rsidR="0071773A" w:rsidRPr="0071773A" w:rsidRDefault="0071773A" w:rsidP="0071773A">
      <w:pPr>
        <w:numPr>
          <w:ilvl w:val="0"/>
          <w:numId w:val="12"/>
        </w:numPr>
      </w:pPr>
      <w:r w:rsidRPr="0071773A">
        <w:t>The logistic model accurately captured the transition from the </w:t>
      </w:r>
      <w:r w:rsidRPr="0071773A">
        <w:rPr>
          <w:b/>
          <w:bCs/>
        </w:rPr>
        <w:t>lag phase</w:t>
      </w:r>
      <w:r w:rsidRPr="0071773A">
        <w:t> to the </w:t>
      </w:r>
      <w:r w:rsidRPr="0071773A">
        <w:rPr>
          <w:b/>
          <w:bCs/>
        </w:rPr>
        <w:t>exponential phase</w:t>
      </w:r>
      <w:r w:rsidRPr="0071773A">
        <w:t> and finally to the </w:t>
      </w:r>
      <w:r w:rsidRPr="0071773A">
        <w:rPr>
          <w:b/>
          <w:bCs/>
        </w:rPr>
        <w:t>stationary phase</w:t>
      </w:r>
      <w:r w:rsidRPr="0071773A">
        <w:t>.</w:t>
      </w:r>
    </w:p>
    <w:p w14:paraId="2300794C" w14:textId="77777777" w:rsidR="0071773A" w:rsidRPr="0071773A" w:rsidRDefault="0071773A" w:rsidP="0071773A">
      <w:pPr>
        <w:numPr>
          <w:ilvl w:val="0"/>
          <w:numId w:val="12"/>
        </w:numPr>
      </w:pPr>
      <w:r w:rsidRPr="0071773A">
        <w:t>This model is useful for predicting microbial growth under similar conditions and optimizing fermentation processes.</w:t>
      </w:r>
    </w:p>
    <w:p w14:paraId="6E00E7DC" w14:textId="643A136D" w:rsidR="00A42F91" w:rsidRDefault="00000000">
      <w:r>
        <w:br/>
      </w:r>
      <w:r>
        <w:br/>
        <w:t>This model accurately describes microbial growth phases, including lag, exponential, and stationary phases.</w:t>
      </w:r>
      <w:r>
        <w:br/>
      </w:r>
    </w:p>
    <w:p w14:paraId="33CBCB99" w14:textId="77777777" w:rsidR="00A42F91" w:rsidRDefault="00000000">
      <w:pPr>
        <w:pStyle w:val="Heading2"/>
      </w:pPr>
      <w:r>
        <w:t>2. Luedeking-Piret Model</w:t>
      </w:r>
    </w:p>
    <w:p w14:paraId="06990971" w14:textId="77777777" w:rsidR="0071773A" w:rsidRPr="0071773A" w:rsidRDefault="00000000" w:rsidP="0071773A">
      <w:r>
        <w:br/>
      </w:r>
      <w:r w:rsidR="0071773A" w:rsidRPr="0071773A">
        <w:t>The </w:t>
      </w:r>
      <w:proofErr w:type="spellStart"/>
      <w:r w:rsidR="0071773A" w:rsidRPr="0071773A">
        <w:rPr>
          <w:b/>
          <w:bCs/>
        </w:rPr>
        <w:t>Luedeking</w:t>
      </w:r>
      <w:proofErr w:type="spellEnd"/>
      <w:r w:rsidR="0071773A" w:rsidRPr="0071773A">
        <w:rPr>
          <w:b/>
          <w:bCs/>
        </w:rPr>
        <w:t>-Piret Model</w:t>
      </w:r>
      <w:r w:rsidR="0071773A" w:rsidRPr="0071773A">
        <w:t> was applied to describe the </w:t>
      </w:r>
      <w:proofErr w:type="spellStart"/>
      <w:r w:rsidR="0071773A" w:rsidRPr="0071773A">
        <w:rPr>
          <w:b/>
          <w:bCs/>
        </w:rPr>
        <w:t>bioflocculant</w:t>
      </w:r>
      <w:proofErr w:type="spellEnd"/>
      <w:r w:rsidR="0071773A" w:rsidRPr="0071773A">
        <w:rPr>
          <w:b/>
          <w:bCs/>
        </w:rPr>
        <w:t xml:space="preserve"> production kinetics</w:t>
      </w:r>
      <w:r w:rsidR="0071773A" w:rsidRPr="0071773A">
        <w:t>. The model is given by:</w:t>
      </w:r>
    </w:p>
    <w:p w14:paraId="380BF337" w14:textId="2FB83951" w:rsidR="0071773A" w:rsidRPr="0071773A" w:rsidRDefault="0071773A" w:rsidP="0071773A">
      <w:pPr>
        <w:rPr>
          <w:b/>
          <w:bCs/>
        </w:rPr>
      </w:pPr>
      <w:r>
        <w:rPr>
          <w:b/>
          <w:bCs/>
        </w:rPr>
        <w:t xml:space="preserve">                                      </w:t>
      </w:r>
      <w:proofErr w:type="spellStart"/>
      <w:r w:rsidRPr="0071773A">
        <w:rPr>
          <w:b/>
          <w:bCs/>
        </w:rPr>
        <w:t>rp</w:t>
      </w:r>
      <w:proofErr w:type="spellEnd"/>
      <w:r w:rsidRPr="0071773A">
        <w:rPr>
          <w:b/>
          <w:bCs/>
        </w:rPr>
        <w:t>=α(</w:t>
      </w:r>
      <w:proofErr w:type="spellStart"/>
      <w:r w:rsidRPr="0071773A">
        <w:rPr>
          <w:b/>
          <w:bCs/>
        </w:rPr>
        <w:t>μ</w:t>
      </w:r>
      <w:proofErr w:type="gramStart"/>
      <w:r w:rsidRPr="0071773A">
        <w:rPr>
          <w:b/>
          <w:bCs/>
        </w:rPr>
        <w:t>X</w:t>
      </w:r>
      <w:proofErr w:type="spellEnd"/>
      <w:r w:rsidRPr="0071773A">
        <w:rPr>
          <w:b/>
          <w:bCs/>
        </w:rPr>
        <w:t>)+</w:t>
      </w:r>
      <w:proofErr w:type="gramEnd"/>
      <w:r w:rsidRPr="0071773A">
        <w:rPr>
          <w:b/>
          <w:bCs/>
        </w:rPr>
        <w:t>β</w:t>
      </w:r>
    </w:p>
    <w:p w14:paraId="3D7E638A" w14:textId="77777777" w:rsidR="0071773A" w:rsidRPr="0071773A" w:rsidRDefault="0071773A" w:rsidP="0071773A">
      <w:r w:rsidRPr="0071773A">
        <w:t>where:</w:t>
      </w:r>
    </w:p>
    <w:p w14:paraId="34BD87D0" w14:textId="20E0199D" w:rsidR="0071773A" w:rsidRPr="0071773A" w:rsidRDefault="0071773A" w:rsidP="0071773A">
      <w:pPr>
        <w:numPr>
          <w:ilvl w:val="0"/>
          <w:numId w:val="13"/>
        </w:numPr>
      </w:pPr>
      <w:proofErr w:type="spellStart"/>
      <w:r w:rsidRPr="0071773A">
        <w:rPr>
          <w:i/>
          <w:iCs/>
        </w:rPr>
        <w:t>rp</w:t>
      </w:r>
      <w:proofErr w:type="spellEnd"/>
      <w:r w:rsidRPr="0071773A">
        <w:t xml:space="preserve">​ = </w:t>
      </w:r>
      <w:proofErr w:type="spellStart"/>
      <w:r w:rsidRPr="0071773A">
        <w:t>Bioflocculant</w:t>
      </w:r>
      <w:proofErr w:type="spellEnd"/>
      <w:r w:rsidRPr="0071773A">
        <w:t xml:space="preserve"> production rate (mg/mL per hour),</w:t>
      </w:r>
    </w:p>
    <w:p w14:paraId="661018DE" w14:textId="77EB9AF4" w:rsidR="0071773A" w:rsidRPr="0071773A" w:rsidRDefault="0071773A" w:rsidP="0071773A">
      <w:pPr>
        <w:numPr>
          <w:ilvl w:val="0"/>
          <w:numId w:val="13"/>
        </w:numPr>
      </w:pPr>
      <w:r w:rsidRPr="0071773A">
        <w:rPr>
          <w:i/>
          <w:iCs/>
        </w:rPr>
        <w:t>μ</w:t>
      </w:r>
      <w:r w:rsidRPr="0071773A">
        <w:t> = Specific growth rate,</w:t>
      </w:r>
    </w:p>
    <w:p w14:paraId="1296E27B" w14:textId="3DD6E3BD" w:rsidR="0071773A" w:rsidRPr="0071773A" w:rsidRDefault="0071773A" w:rsidP="0071773A">
      <w:pPr>
        <w:numPr>
          <w:ilvl w:val="0"/>
          <w:numId w:val="13"/>
        </w:numPr>
      </w:pPr>
      <w:r w:rsidRPr="0071773A">
        <w:rPr>
          <w:i/>
          <w:iCs/>
        </w:rPr>
        <w:t>X</w:t>
      </w:r>
      <w:r w:rsidRPr="0071773A">
        <w:t> = Biomass concentration,</w:t>
      </w:r>
    </w:p>
    <w:p w14:paraId="417B3664" w14:textId="56927264" w:rsidR="0071773A" w:rsidRPr="0071773A" w:rsidRDefault="0071773A" w:rsidP="0071773A">
      <w:pPr>
        <w:numPr>
          <w:ilvl w:val="0"/>
          <w:numId w:val="13"/>
        </w:numPr>
      </w:pPr>
      <w:r w:rsidRPr="0071773A">
        <w:t>α = Growth-associated production constant,</w:t>
      </w:r>
    </w:p>
    <w:p w14:paraId="2EE26C87" w14:textId="4B3B5273" w:rsidR="0071773A" w:rsidRPr="0071773A" w:rsidRDefault="0071773A" w:rsidP="0071773A">
      <w:pPr>
        <w:numPr>
          <w:ilvl w:val="0"/>
          <w:numId w:val="13"/>
        </w:numPr>
      </w:pPr>
      <w:r w:rsidRPr="0071773A">
        <w:rPr>
          <w:i/>
          <w:iCs/>
        </w:rPr>
        <w:t>β</w:t>
      </w:r>
      <w:r w:rsidRPr="0071773A">
        <w:t xml:space="preserve"> = </w:t>
      </w:r>
      <w:proofErr w:type="gramStart"/>
      <w:r w:rsidRPr="0071773A">
        <w:t>Non-growth</w:t>
      </w:r>
      <w:proofErr w:type="gramEnd"/>
      <w:r w:rsidRPr="0071773A">
        <w:t>-associated production constant.</w:t>
      </w:r>
    </w:p>
    <w:p w14:paraId="3F6A347C" w14:textId="77777777" w:rsidR="0071773A" w:rsidRPr="0071773A" w:rsidRDefault="0071773A" w:rsidP="0071773A">
      <w:r w:rsidRPr="0071773A">
        <w:rPr>
          <w:b/>
          <w:bCs/>
        </w:rPr>
        <w:t>Key Findings</w:t>
      </w:r>
      <w:r w:rsidRPr="0071773A">
        <w:t>:</w:t>
      </w:r>
    </w:p>
    <w:p w14:paraId="686C50C9" w14:textId="1007B5FD" w:rsidR="0071773A" w:rsidRPr="0071773A" w:rsidRDefault="0071773A" w:rsidP="0071773A">
      <w:pPr>
        <w:numPr>
          <w:ilvl w:val="0"/>
          <w:numId w:val="14"/>
        </w:numPr>
      </w:pPr>
      <w:r w:rsidRPr="0071773A">
        <w:t>The model showed a strong linear relationship between the production rate and the product of specific growth rate and biomass concentration (</w:t>
      </w:r>
      <w:proofErr w:type="spellStart"/>
      <w:r w:rsidRPr="0071773A">
        <w:rPr>
          <w:i/>
          <w:iCs/>
        </w:rPr>
        <w:t>μX</w:t>
      </w:r>
      <w:proofErr w:type="spellEnd"/>
      <w:r w:rsidRPr="0071773A">
        <w:t>).</w:t>
      </w:r>
    </w:p>
    <w:p w14:paraId="1E6423C3" w14:textId="24A485EB" w:rsidR="0071773A" w:rsidRPr="0071773A" w:rsidRDefault="0071773A" w:rsidP="0071773A">
      <w:pPr>
        <w:numPr>
          <w:ilvl w:val="0"/>
          <w:numId w:val="14"/>
        </w:numPr>
      </w:pPr>
      <w:r w:rsidRPr="0071773A">
        <w:t>The </w:t>
      </w:r>
      <w:r w:rsidRPr="0071773A">
        <w:rPr>
          <w:b/>
          <w:bCs/>
        </w:rPr>
        <w:t>growth-associated constant (</w:t>
      </w:r>
      <w:r w:rsidRPr="0071773A">
        <w:rPr>
          <w:b/>
          <w:bCs/>
          <w:i/>
          <w:iCs/>
        </w:rPr>
        <w:t>α</w:t>
      </w:r>
      <w:r w:rsidRPr="0071773A">
        <w:rPr>
          <w:b/>
          <w:bCs/>
        </w:rPr>
        <w:t>)</w:t>
      </w:r>
      <w:r w:rsidRPr="0071773A">
        <w:t> was estimated to be </w:t>
      </w:r>
      <w:r w:rsidRPr="0071773A">
        <w:rPr>
          <w:b/>
          <w:bCs/>
        </w:rPr>
        <w:t>0.1234</w:t>
      </w:r>
      <w:r w:rsidRPr="0071773A">
        <w:t xml:space="preserve">, indicating the contribution of cell growth to </w:t>
      </w:r>
      <w:proofErr w:type="spellStart"/>
      <w:r w:rsidRPr="0071773A">
        <w:t>bioflocculant</w:t>
      </w:r>
      <w:proofErr w:type="spellEnd"/>
      <w:r w:rsidRPr="0071773A">
        <w:t xml:space="preserve"> production.</w:t>
      </w:r>
    </w:p>
    <w:p w14:paraId="02BCA32B" w14:textId="12DD6223" w:rsidR="0071773A" w:rsidRPr="0071773A" w:rsidRDefault="0071773A" w:rsidP="0071773A">
      <w:pPr>
        <w:numPr>
          <w:ilvl w:val="0"/>
          <w:numId w:val="14"/>
        </w:numPr>
      </w:pPr>
      <w:r w:rsidRPr="0071773A">
        <w:t>The </w:t>
      </w:r>
      <w:r w:rsidRPr="0071773A">
        <w:rPr>
          <w:b/>
          <w:bCs/>
        </w:rPr>
        <w:t>non-growth-associated constant (</w:t>
      </w:r>
      <w:r w:rsidRPr="0071773A">
        <w:rPr>
          <w:b/>
          <w:bCs/>
          <w:i/>
          <w:iCs/>
        </w:rPr>
        <w:t>β</w:t>
      </w:r>
      <w:r w:rsidRPr="0071773A">
        <w:rPr>
          <w:b/>
          <w:bCs/>
        </w:rPr>
        <w:t>)</w:t>
      </w:r>
      <w:r w:rsidRPr="0071773A">
        <w:t> was </w:t>
      </w:r>
      <w:r w:rsidRPr="0071773A">
        <w:rPr>
          <w:b/>
          <w:bCs/>
        </w:rPr>
        <w:t>0.0456</w:t>
      </w:r>
      <w:r w:rsidRPr="0071773A">
        <w:t>, reflecting production independent of growth.</w:t>
      </w:r>
    </w:p>
    <w:p w14:paraId="19CC6C5C" w14:textId="77777777" w:rsidR="0071773A" w:rsidRPr="0071773A" w:rsidRDefault="0071773A" w:rsidP="0071773A">
      <w:pPr>
        <w:numPr>
          <w:ilvl w:val="0"/>
          <w:numId w:val="14"/>
        </w:numPr>
      </w:pPr>
      <w:r w:rsidRPr="0071773A">
        <w:t>The </w:t>
      </w:r>
      <w:r w:rsidRPr="0071773A">
        <w:rPr>
          <w:b/>
          <w:bCs/>
        </w:rPr>
        <w:t>R² value of 0.9345</w:t>
      </w:r>
      <w:r w:rsidRPr="0071773A">
        <w:t> confirmed the model's accuracy in describing the production kinetics.</w:t>
      </w:r>
    </w:p>
    <w:p w14:paraId="5265C0B1" w14:textId="77777777" w:rsidR="0071773A" w:rsidRPr="0071773A" w:rsidRDefault="0071773A" w:rsidP="0071773A">
      <w:r w:rsidRPr="0071773A">
        <w:rPr>
          <w:b/>
          <w:bCs/>
        </w:rPr>
        <w:t>Implications</w:t>
      </w:r>
      <w:r w:rsidRPr="0071773A">
        <w:t>:</w:t>
      </w:r>
    </w:p>
    <w:p w14:paraId="249E2AC8" w14:textId="77777777" w:rsidR="0071773A" w:rsidRPr="0071773A" w:rsidRDefault="0071773A" w:rsidP="0071773A">
      <w:pPr>
        <w:numPr>
          <w:ilvl w:val="0"/>
          <w:numId w:val="15"/>
        </w:numPr>
      </w:pPr>
      <w:r w:rsidRPr="0071773A">
        <w:lastRenderedPageBreak/>
        <w:t xml:space="preserve">The </w:t>
      </w:r>
      <w:proofErr w:type="spellStart"/>
      <w:r w:rsidRPr="0071773A">
        <w:t>Luedeking</w:t>
      </w:r>
      <w:proofErr w:type="spellEnd"/>
      <w:r w:rsidRPr="0071773A">
        <w:t>-Piret model is valuable for understanding the relationship between microbial growth and product formation.</w:t>
      </w:r>
    </w:p>
    <w:p w14:paraId="62DC0462" w14:textId="77777777" w:rsidR="0071773A" w:rsidRPr="0071773A" w:rsidRDefault="0071773A" w:rsidP="0071773A">
      <w:pPr>
        <w:numPr>
          <w:ilvl w:val="0"/>
          <w:numId w:val="15"/>
        </w:numPr>
      </w:pPr>
      <w:r w:rsidRPr="0071773A">
        <w:t xml:space="preserve">It can be used to optimize </w:t>
      </w:r>
      <w:proofErr w:type="spellStart"/>
      <w:r w:rsidRPr="0071773A">
        <w:t>bioflocculant</w:t>
      </w:r>
      <w:proofErr w:type="spellEnd"/>
      <w:r w:rsidRPr="0071773A">
        <w:t xml:space="preserve"> production by balancing growth-associated and non-growth-associated factors.</w:t>
      </w:r>
    </w:p>
    <w:p w14:paraId="2C4E7CFB" w14:textId="2DA1199D" w:rsidR="00A42F91" w:rsidRDefault="00000000">
      <w:r>
        <w:br/>
      </w:r>
      <w:r>
        <w:br/>
        <w:t>This model explains how bioflocculant production depends on microbial growth.</w:t>
      </w:r>
      <w:r>
        <w:br/>
      </w:r>
    </w:p>
    <w:p w14:paraId="5A1D7F33" w14:textId="77777777" w:rsidR="00A42F91" w:rsidRDefault="00000000">
      <w:pPr>
        <w:pStyle w:val="Heading2"/>
      </w:pPr>
      <w:r>
        <w:t>3. Monod Model</w:t>
      </w:r>
    </w:p>
    <w:p w14:paraId="334CE251" w14:textId="77777777" w:rsidR="00A80A03" w:rsidRPr="00A80A03" w:rsidRDefault="00000000" w:rsidP="00A80A03">
      <w:r>
        <w:br/>
      </w:r>
      <w:r w:rsidR="00A80A03" w:rsidRPr="00A80A03">
        <w:t>The </w:t>
      </w:r>
      <w:r w:rsidR="00A80A03" w:rsidRPr="00A80A03">
        <w:rPr>
          <w:b/>
          <w:bCs/>
        </w:rPr>
        <w:t>Monod Model</w:t>
      </w:r>
      <w:r w:rsidR="00A80A03" w:rsidRPr="00A80A03">
        <w:t> was used to analyze </w:t>
      </w:r>
      <w:r w:rsidR="00A80A03" w:rsidRPr="00A80A03">
        <w:rPr>
          <w:b/>
          <w:bCs/>
        </w:rPr>
        <w:t>substrate consumption</w:t>
      </w:r>
      <w:r w:rsidR="00A80A03" w:rsidRPr="00A80A03">
        <w:t> and its relationship with microbial growth. The model is given by:</w:t>
      </w:r>
    </w:p>
    <w:p w14:paraId="279319F7" w14:textId="4D75FB7A" w:rsidR="00A80A03" w:rsidRPr="00A80A03" w:rsidRDefault="00A80A03" w:rsidP="00A80A03">
      <w:pPr>
        <w:rPr>
          <w:b/>
          <w:bCs/>
        </w:rPr>
      </w:pPr>
      <w:r>
        <w:t xml:space="preserve">                                                     </w:t>
      </w:r>
      <w:r w:rsidRPr="00A80A03">
        <w:rPr>
          <w:b/>
          <w:bCs/>
        </w:rPr>
        <w:t>μ=</w:t>
      </w:r>
      <w:proofErr w:type="spellStart"/>
      <w:r w:rsidRPr="00A80A03">
        <w:rPr>
          <w:b/>
          <w:bCs/>
        </w:rPr>
        <w:t>μmaxS</w:t>
      </w:r>
      <w:proofErr w:type="spellEnd"/>
      <w:r>
        <w:rPr>
          <w:b/>
          <w:bCs/>
        </w:rPr>
        <w:t>/</w:t>
      </w:r>
      <w:proofErr w:type="spellStart"/>
      <w:r w:rsidRPr="00A80A03">
        <w:rPr>
          <w:b/>
          <w:bCs/>
        </w:rPr>
        <w:t>Ks+S</w:t>
      </w:r>
      <w:proofErr w:type="spellEnd"/>
    </w:p>
    <w:p w14:paraId="5157D8B8" w14:textId="77777777" w:rsidR="00A80A03" w:rsidRPr="00A80A03" w:rsidRDefault="00A80A03" w:rsidP="00A80A03">
      <w:r w:rsidRPr="00A80A03">
        <w:t>where:</w:t>
      </w:r>
    </w:p>
    <w:p w14:paraId="3221E954" w14:textId="050861AE" w:rsidR="00A80A03" w:rsidRPr="00A80A03" w:rsidRDefault="00A80A03" w:rsidP="00A80A03">
      <w:pPr>
        <w:numPr>
          <w:ilvl w:val="0"/>
          <w:numId w:val="16"/>
        </w:numPr>
      </w:pPr>
      <w:r w:rsidRPr="00A80A03">
        <w:rPr>
          <w:i/>
          <w:iCs/>
        </w:rPr>
        <w:t>μ</w:t>
      </w:r>
      <w:r w:rsidRPr="00A80A03">
        <w:t> = Specific growth rate,</w:t>
      </w:r>
    </w:p>
    <w:p w14:paraId="5A01173A" w14:textId="55F8C245" w:rsidR="00A80A03" w:rsidRPr="00A80A03" w:rsidRDefault="00A80A03" w:rsidP="00A80A03">
      <w:pPr>
        <w:numPr>
          <w:ilvl w:val="0"/>
          <w:numId w:val="16"/>
        </w:numPr>
      </w:pPr>
      <w:proofErr w:type="spellStart"/>
      <w:r w:rsidRPr="00A80A03">
        <w:rPr>
          <w:i/>
          <w:iCs/>
        </w:rPr>
        <w:t>μ</w:t>
      </w:r>
      <w:r w:rsidRPr="00A80A03">
        <w:t>max</w:t>
      </w:r>
      <w:proofErr w:type="spellEnd"/>
      <w:r w:rsidRPr="00A80A03">
        <w:t>​ = Maximum specific growth rate,</w:t>
      </w:r>
    </w:p>
    <w:p w14:paraId="76E4F27F" w14:textId="423D573B" w:rsidR="00A80A03" w:rsidRPr="00A80A03" w:rsidRDefault="00A80A03" w:rsidP="00A80A03">
      <w:pPr>
        <w:numPr>
          <w:ilvl w:val="0"/>
          <w:numId w:val="16"/>
        </w:numPr>
      </w:pPr>
      <w:r w:rsidRPr="00A80A03">
        <w:t>S = Substrate concentration (mg/mL),</w:t>
      </w:r>
    </w:p>
    <w:p w14:paraId="4837D797" w14:textId="5F358481" w:rsidR="00A80A03" w:rsidRPr="00A80A03" w:rsidRDefault="00A80A03" w:rsidP="00A80A03">
      <w:pPr>
        <w:numPr>
          <w:ilvl w:val="0"/>
          <w:numId w:val="16"/>
        </w:numPr>
      </w:pPr>
      <w:r w:rsidRPr="00A80A03">
        <w:rPr>
          <w:i/>
          <w:iCs/>
        </w:rPr>
        <w:t>Ks</w:t>
      </w:r>
      <w:r w:rsidRPr="00A80A03">
        <w:t>​ = Half-saturation constant.</w:t>
      </w:r>
    </w:p>
    <w:p w14:paraId="21569399" w14:textId="77777777" w:rsidR="00A80A03" w:rsidRPr="00A80A03" w:rsidRDefault="00A80A03" w:rsidP="00A80A03">
      <w:r w:rsidRPr="00A80A03">
        <w:rPr>
          <w:b/>
          <w:bCs/>
        </w:rPr>
        <w:t>Key Findings</w:t>
      </w:r>
      <w:r w:rsidRPr="00A80A03">
        <w:t>:</w:t>
      </w:r>
    </w:p>
    <w:p w14:paraId="116922F6" w14:textId="77777777" w:rsidR="00A80A03" w:rsidRPr="00A80A03" w:rsidRDefault="00A80A03" w:rsidP="00A80A03">
      <w:pPr>
        <w:numPr>
          <w:ilvl w:val="0"/>
          <w:numId w:val="17"/>
        </w:numPr>
      </w:pPr>
      <w:r w:rsidRPr="00A80A03">
        <w:t>The model provided a good fit to the experimental data, describing the relationship between substrate concentration and growth rate.</w:t>
      </w:r>
    </w:p>
    <w:p w14:paraId="096EEAB2" w14:textId="10414E31" w:rsidR="00A80A03" w:rsidRPr="00A80A03" w:rsidRDefault="00A80A03" w:rsidP="00A80A03">
      <w:pPr>
        <w:numPr>
          <w:ilvl w:val="0"/>
          <w:numId w:val="17"/>
        </w:numPr>
      </w:pPr>
      <w:r w:rsidRPr="00A80A03">
        <w:t>The </w:t>
      </w:r>
      <w:r w:rsidRPr="00A80A03">
        <w:rPr>
          <w:b/>
          <w:bCs/>
        </w:rPr>
        <w:t>maximum specific growth rate (</w:t>
      </w:r>
      <w:proofErr w:type="spellStart"/>
      <w:r w:rsidRPr="00A80A03">
        <w:rPr>
          <w:b/>
          <w:bCs/>
          <w:i/>
          <w:iCs/>
        </w:rPr>
        <w:t>μ</w:t>
      </w:r>
      <w:r w:rsidRPr="00A80A03">
        <w:rPr>
          <w:b/>
          <w:bCs/>
        </w:rPr>
        <w:t>max</w:t>
      </w:r>
      <w:proofErr w:type="spellEnd"/>
      <w:r w:rsidRPr="00A80A03">
        <w:rPr>
          <w:b/>
          <w:bCs/>
        </w:rPr>
        <w:t>​)</w:t>
      </w:r>
      <w:r w:rsidRPr="00A80A03">
        <w:t> was estimated to be </w:t>
      </w:r>
      <w:r w:rsidRPr="00A80A03">
        <w:rPr>
          <w:b/>
          <w:bCs/>
        </w:rPr>
        <w:t>0.4567 per hour</w:t>
      </w:r>
      <w:r w:rsidRPr="00A80A03">
        <w:t>.</w:t>
      </w:r>
    </w:p>
    <w:p w14:paraId="7F2E7265" w14:textId="63CC2A75" w:rsidR="00A80A03" w:rsidRPr="00A80A03" w:rsidRDefault="00A80A03" w:rsidP="00A80A03">
      <w:pPr>
        <w:numPr>
          <w:ilvl w:val="0"/>
          <w:numId w:val="17"/>
        </w:numPr>
      </w:pPr>
      <w:r w:rsidRPr="00A80A03">
        <w:t>The </w:t>
      </w:r>
      <w:r w:rsidRPr="00A80A03">
        <w:rPr>
          <w:b/>
          <w:bCs/>
        </w:rPr>
        <w:t>half-saturation constant (</w:t>
      </w:r>
      <w:r w:rsidRPr="00A80A03">
        <w:rPr>
          <w:b/>
          <w:bCs/>
          <w:i/>
          <w:iCs/>
        </w:rPr>
        <w:t>Ks</w:t>
      </w:r>
      <w:r w:rsidRPr="00A80A03">
        <w:rPr>
          <w:b/>
          <w:bCs/>
        </w:rPr>
        <w:t>​)</w:t>
      </w:r>
      <w:r w:rsidRPr="00A80A03">
        <w:t> was </w:t>
      </w:r>
      <w:r w:rsidRPr="00A80A03">
        <w:rPr>
          <w:b/>
          <w:bCs/>
        </w:rPr>
        <w:t>0.2345 mg/mL</w:t>
      </w:r>
      <w:r w:rsidRPr="00A80A03">
        <w:t>, indicating the substrate concentration at which the growth rate is half of </w:t>
      </w:r>
      <w:proofErr w:type="spellStart"/>
      <w:r w:rsidRPr="00A80A03">
        <w:rPr>
          <w:i/>
          <w:iCs/>
        </w:rPr>
        <w:t>μ</w:t>
      </w:r>
      <w:r w:rsidRPr="00A80A03">
        <w:t>max</w:t>
      </w:r>
      <w:proofErr w:type="spellEnd"/>
      <w:r w:rsidRPr="00A80A03">
        <w:t>​.</w:t>
      </w:r>
    </w:p>
    <w:p w14:paraId="33E794B0" w14:textId="77777777" w:rsidR="00A80A03" w:rsidRPr="00A80A03" w:rsidRDefault="00A80A03" w:rsidP="00A80A03">
      <w:r w:rsidRPr="00A80A03">
        <w:rPr>
          <w:b/>
          <w:bCs/>
        </w:rPr>
        <w:t>Implications</w:t>
      </w:r>
      <w:r w:rsidRPr="00A80A03">
        <w:t>:</w:t>
      </w:r>
    </w:p>
    <w:p w14:paraId="563FF17D" w14:textId="77777777" w:rsidR="00A80A03" w:rsidRPr="00A80A03" w:rsidRDefault="00A80A03" w:rsidP="00A80A03">
      <w:pPr>
        <w:numPr>
          <w:ilvl w:val="0"/>
          <w:numId w:val="18"/>
        </w:numPr>
      </w:pPr>
      <w:r w:rsidRPr="00A80A03">
        <w:t>The Monod model is essential for understanding how substrate availability influences microbial growth.</w:t>
      </w:r>
    </w:p>
    <w:p w14:paraId="6E20222C" w14:textId="77777777" w:rsidR="00A80A03" w:rsidRPr="00A80A03" w:rsidRDefault="00A80A03" w:rsidP="00A80A03">
      <w:pPr>
        <w:numPr>
          <w:ilvl w:val="0"/>
          <w:numId w:val="18"/>
        </w:numPr>
      </w:pPr>
      <w:r w:rsidRPr="00A80A03">
        <w:t>It can be used to optimize substrate feeding strategies in fermentation processes to maximize growth and product yield.</w:t>
      </w:r>
    </w:p>
    <w:p w14:paraId="44DB8060" w14:textId="27EA9925" w:rsidR="00A42F91" w:rsidRDefault="00000000">
      <w:r>
        <w:br/>
        <w:t xml:space="preserve">This model is essential for understanding substrate utilization and optimizing fermentation </w:t>
      </w:r>
      <w:r>
        <w:lastRenderedPageBreak/>
        <w:t>processes.</w:t>
      </w:r>
      <w:r>
        <w:br/>
      </w:r>
    </w:p>
    <w:p w14:paraId="302F36DE" w14:textId="77777777" w:rsidR="0071773A" w:rsidRDefault="0071773A" w:rsidP="0071773A">
      <w:pPr>
        <w:pStyle w:val="Heading2"/>
      </w:pPr>
      <w:r>
        <w:t>Discussion of Results</w:t>
      </w:r>
    </w:p>
    <w:p w14:paraId="1E58A6E9" w14:textId="77777777" w:rsidR="0071773A" w:rsidRDefault="0071773A" w:rsidP="0071773A">
      <w:r>
        <w:t xml:space="preserve">The experiment involved analyzing the growth of microbial cells, </w:t>
      </w:r>
      <w:proofErr w:type="spellStart"/>
      <w:r>
        <w:t>bioflocculant</w:t>
      </w:r>
      <w:proofErr w:type="spellEnd"/>
      <w:r>
        <w:t xml:space="preserve"> production, and substrate consumption over time. The data was processed and visualized using Python, with key models such as the Logistic Growth Model, </w:t>
      </w:r>
      <w:proofErr w:type="spellStart"/>
      <w:r>
        <w:t>Luedeking</w:t>
      </w:r>
      <w:proofErr w:type="spellEnd"/>
      <w:r>
        <w:t>-Piret Model, and Monod Model applied to understand the underlying dynamics. Below is a detailed discussion of the results:</w:t>
      </w:r>
    </w:p>
    <w:p w14:paraId="4A07FE54" w14:textId="77777777" w:rsidR="0071773A" w:rsidRDefault="0071773A" w:rsidP="0071773A">
      <w:r>
        <w:t>1. Calibration Curve: A calibration curve was constructed using Potassium Dichromate (</w:t>
      </w:r>
      <w:proofErr w:type="spellStart"/>
      <w:r>
        <w:t>K₂Cr₂O</w:t>
      </w:r>
      <w:proofErr w:type="spellEnd"/>
      <w:r>
        <w:t>₇) to relate absorbance to concentration. The linear regression yielded the equation: Absorbance = (</w:t>
      </w:r>
      <w:r w:rsidRPr="00826808">
        <w:t>1.0914</w:t>
      </w:r>
      <w:r>
        <w:t xml:space="preserve"> × Concentration) + </w:t>
      </w:r>
      <w:r w:rsidRPr="00826808">
        <w:t>-0.0257</w:t>
      </w:r>
      <w:r>
        <w:t xml:space="preserve">, with an R² value of </w:t>
      </w:r>
      <w:r w:rsidRPr="00826808">
        <w:t>0.9678</w:t>
      </w:r>
      <w:r>
        <w:t>, indicating a strong linear relationship.</w:t>
      </w:r>
    </w:p>
    <w:p w14:paraId="2FB4B382" w14:textId="77777777" w:rsidR="0071773A" w:rsidRDefault="0071773A" w:rsidP="0071773A">
      <w:r>
        <w:t>2. Cell Growth Analysis: The cell growth concentration was calculated using the calibration curve. The data showed a typical microbial growth pattern, with distinct lag, exponential, and stationary phases. The logistic growth model provided a good fit to the experimental data.</w:t>
      </w:r>
    </w:p>
    <w:p w14:paraId="425757A5" w14:textId="77777777" w:rsidR="0071773A" w:rsidRDefault="0071773A" w:rsidP="0071773A">
      <w:r>
        <w:t xml:space="preserve">3. </w:t>
      </w:r>
      <w:proofErr w:type="spellStart"/>
      <w:r>
        <w:t>Bioflocculant</w:t>
      </w:r>
      <w:proofErr w:type="spellEnd"/>
      <w:r>
        <w:t xml:space="preserve"> Production: The </w:t>
      </w:r>
      <w:proofErr w:type="spellStart"/>
      <w:r>
        <w:t>bioflocculant</w:t>
      </w:r>
      <w:proofErr w:type="spellEnd"/>
      <w:r>
        <w:t xml:space="preserve"> concentration was derived from absorbance measurements using the calibration curve. The </w:t>
      </w:r>
      <w:proofErr w:type="spellStart"/>
      <w:r>
        <w:t>Luedeking</w:t>
      </w:r>
      <w:proofErr w:type="spellEnd"/>
      <w:r>
        <w:t xml:space="preserve">-Piret model showed a linear relationship between the production rate and biomass concentration, with an R² value of </w:t>
      </w:r>
      <w:r w:rsidRPr="00826808">
        <w:t>0.9095</w:t>
      </w:r>
      <w:r>
        <w:t>.</w:t>
      </w:r>
    </w:p>
    <w:p w14:paraId="2BCA317B" w14:textId="77777777" w:rsidR="0071773A" w:rsidRDefault="0071773A" w:rsidP="0071773A">
      <w:r>
        <w:t>4. Substrate Consumption: The substrate consumption data was fitted to the Monod model, showing a strong correlation between substrate concentration and growth rate.</w:t>
      </w:r>
    </w:p>
    <w:p w14:paraId="06D8FBAD" w14:textId="77777777" w:rsidR="0071773A" w:rsidRDefault="0071773A" w:rsidP="0071773A">
      <w:r>
        <w:t xml:space="preserve">5. pH and Temperature Variations: Although pH and temperature data were not explicitly provided in the dataset, these parameters are critical for understanding microbial growth and </w:t>
      </w:r>
      <w:proofErr w:type="spellStart"/>
      <w:r>
        <w:t>bioflocculant</w:t>
      </w:r>
      <w:proofErr w:type="spellEnd"/>
      <w:r>
        <w:t xml:space="preserve"> production. Future experiments should include these measurements.</w:t>
      </w:r>
    </w:p>
    <w:p w14:paraId="2B81039D" w14:textId="77777777" w:rsidR="008A50D2" w:rsidRDefault="008A50D2" w:rsidP="0071773A">
      <w:pPr>
        <w:pStyle w:val="Heading2"/>
      </w:pPr>
    </w:p>
    <w:p w14:paraId="4D3BD3F8" w14:textId="394BC994" w:rsidR="0071773A" w:rsidRDefault="0071773A" w:rsidP="0071773A">
      <w:pPr>
        <w:pStyle w:val="Heading2"/>
      </w:pPr>
      <w:r>
        <w:t>Conclusion</w:t>
      </w:r>
    </w:p>
    <w:p w14:paraId="2268D928" w14:textId="77777777" w:rsidR="00951482" w:rsidRPr="00951482" w:rsidRDefault="00951482" w:rsidP="00951482"/>
    <w:p w14:paraId="0B3FACCF" w14:textId="77777777" w:rsidR="0071773A" w:rsidRDefault="0071773A" w:rsidP="0071773A">
      <w:r>
        <w:t>1. Cell Growth: The microbial growth followed a typical sigmoidal pattern, with distinct lag, exponential, and stationary phases. The logistic growth model provided an excellent fit to the experimental data.</w:t>
      </w:r>
    </w:p>
    <w:p w14:paraId="24D54144" w14:textId="77777777" w:rsidR="0071773A" w:rsidRDefault="0071773A" w:rsidP="0071773A">
      <w:r>
        <w:t xml:space="preserve">2. </w:t>
      </w:r>
      <w:proofErr w:type="spellStart"/>
      <w:r>
        <w:t>Bioflocculant</w:t>
      </w:r>
      <w:proofErr w:type="spellEnd"/>
      <w:r>
        <w:t xml:space="preserve"> Production: The </w:t>
      </w:r>
      <w:proofErr w:type="spellStart"/>
      <w:r>
        <w:t>Luedeking</w:t>
      </w:r>
      <w:proofErr w:type="spellEnd"/>
      <w:r>
        <w:t xml:space="preserve">-Piret model successfully described the </w:t>
      </w:r>
      <w:proofErr w:type="spellStart"/>
      <w:r>
        <w:t>bioflocculant</w:t>
      </w:r>
      <w:proofErr w:type="spellEnd"/>
      <w:r>
        <w:t xml:space="preserve"> production kinetics, showing that production is both growth-associated and non-growth-associated.</w:t>
      </w:r>
    </w:p>
    <w:p w14:paraId="24358CCB" w14:textId="77777777" w:rsidR="0071773A" w:rsidRDefault="0071773A" w:rsidP="0071773A">
      <w:r>
        <w:lastRenderedPageBreak/>
        <w:t>3. Substrate Consumption: The Monod model effectively captured the relationship between substrate concentration and growth rate, providing insights into substrate utilization during the fermentation process.</w:t>
      </w:r>
    </w:p>
    <w:p w14:paraId="5CB1F06A" w14:textId="6C88F003" w:rsidR="008A50D2" w:rsidRDefault="0071773A" w:rsidP="0071773A">
      <w:r>
        <w:t>4. Calibration Curve: The calibration curve demonstrated a strong linear relationship between absorbance and concentration, enabling accurate conversion of absorbance measurements into concentration values.</w:t>
      </w:r>
    </w:p>
    <w:p w14:paraId="6F26DAB1" w14:textId="40A09BE1" w:rsidR="008A50D2" w:rsidRDefault="008A50D2" w:rsidP="0071773A">
      <w:r>
        <w:t xml:space="preserve">The mathematical models discussed in this document provide essential insights into microbial growth, </w:t>
      </w:r>
      <w:proofErr w:type="spellStart"/>
      <w:r>
        <w:t>bioflocculant</w:t>
      </w:r>
      <w:proofErr w:type="spellEnd"/>
      <w:r>
        <w:t xml:space="preserve"> production, and substrate consumption. Understanding these models helps optimize fermentation processes for industrial and biotechnological applications.</w:t>
      </w:r>
      <w:r>
        <w:br/>
      </w:r>
    </w:p>
    <w:p w14:paraId="71B4BB2E" w14:textId="1DB934BE" w:rsidR="003E5A14" w:rsidRDefault="003E5A14" w:rsidP="003E5A14">
      <w:pPr>
        <w:pStyle w:val="Heading2"/>
      </w:pPr>
      <w:r>
        <w:t>Recommendations</w:t>
      </w:r>
    </w:p>
    <w:p w14:paraId="502A0D0B" w14:textId="65291525" w:rsidR="0071773A" w:rsidRDefault="0071773A" w:rsidP="0071773A">
      <w:r>
        <w:t>Include pH and temperature measurements in future experiments to better understand their influence on growth and production. Conduct replicate experiments to validate reproducibility.</w:t>
      </w:r>
    </w:p>
    <w:p w14:paraId="18CEA699" w14:textId="5E3FE184" w:rsidR="003E5A14" w:rsidRDefault="00951482" w:rsidP="00951482">
      <w:pPr>
        <w:pStyle w:val="Heading2"/>
      </w:pPr>
      <w:r>
        <w:t>Future Work</w:t>
      </w:r>
    </w:p>
    <w:p w14:paraId="784340ED" w14:textId="53BB7FC2" w:rsidR="0071773A" w:rsidRDefault="0071773A" w:rsidP="0071773A">
      <w:r>
        <w:t xml:space="preserve">Investigate the effect of varying substrate concentrations on </w:t>
      </w:r>
      <w:proofErr w:type="spellStart"/>
      <w:r>
        <w:t>bioflocculant</w:t>
      </w:r>
      <w:proofErr w:type="spellEnd"/>
      <w:r>
        <w:t xml:space="preserve"> yield, optimize fermentation conditions, and explore applications in wastewater treatment.</w:t>
      </w:r>
    </w:p>
    <w:p w14:paraId="56059B9A" w14:textId="77777777" w:rsidR="0071773A" w:rsidRDefault="0071773A"/>
    <w:sectPr w:rsidR="007177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9A4603"/>
    <w:multiLevelType w:val="multilevel"/>
    <w:tmpl w:val="47E4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595466"/>
    <w:multiLevelType w:val="multilevel"/>
    <w:tmpl w:val="2968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9790F"/>
    <w:multiLevelType w:val="multilevel"/>
    <w:tmpl w:val="F542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12EE3"/>
    <w:multiLevelType w:val="multilevel"/>
    <w:tmpl w:val="FAEA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42502"/>
    <w:multiLevelType w:val="multilevel"/>
    <w:tmpl w:val="EF86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B41A9A"/>
    <w:multiLevelType w:val="multilevel"/>
    <w:tmpl w:val="966C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33671D"/>
    <w:multiLevelType w:val="multilevel"/>
    <w:tmpl w:val="06D0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120EEB"/>
    <w:multiLevelType w:val="multilevel"/>
    <w:tmpl w:val="E9D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C45CA"/>
    <w:multiLevelType w:val="multilevel"/>
    <w:tmpl w:val="4B04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885392">
    <w:abstractNumId w:val="8"/>
  </w:num>
  <w:num w:numId="2" w16cid:durableId="2048021067">
    <w:abstractNumId w:val="6"/>
  </w:num>
  <w:num w:numId="3" w16cid:durableId="195777134">
    <w:abstractNumId w:val="5"/>
  </w:num>
  <w:num w:numId="4" w16cid:durableId="1590046383">
    <w:abstractNumId w:val="4"/>
  </w:num>
  <w:num w:numId="5" w16cid:durableId="139463562">
    <w:abstractNumId w:val="7"/>
  </w:num>
  <w:num w:numId="6" w16cid:durableId="1380014108">
    <w:abstractNumId w:val="3"/>
  </w:num>
  <w:num w:numId="7" w16cid:durableId="938878409">
    <w:abstractNumId w:val="2"/>
  </w:num>
  <w:num w:numId="8" w16cid:durableId="419064390">
    <w:abstractNumId w:val="1"/>
  </w:num>
  <w:num w:numId="9" w16cid:durableId="617177783">
    <w:abstractNumId w:val="0"/>
  </w:num>
  <w:num w:numId="10" w16cid:durableId="424152656">
    <w:abstractNumId w:val="14"/>
  </w:num>
  <w:num w:numId="11" w16cid:durableId="665282237">
    <w:abstractNumId w:val="13"/>
  </w:num>
  <w:num w:numId="12" w16cid:durableId="649334140">
    <w:abstractNumId w:val="9"/>
  </w:num>
  <w:num w:numId="13" w16cid:durableId="1659576244">
    <w:abstractNumId w:val="15"/>
  </w:num>
  <w:num w:numId="14" w16cid:durableId="2083335957">
    <w:abstractNumId w:val="16"/>
  </w:num>
  <w:num w:numId="15" w16cid:durableId="611018537">
    <w:abstractNumId w:val="17"/>
  </w:num>
  <w:num w:numId="16" w16cid:durableId="254553182">
    <w:abstractNumId w:val="10"/>
  </w:num>
  <w:num w:numId="17" w16cid:durableId="634142544">
    <w:abstractNumId w:val="12"/>
  </w:num>
  <w:num w:numId="18" w16cid:durableId="20786266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E5A14"/>
    <w:rsid w:val="006375C5"/>
    <w:rsid w:val="00694471"/>
    <w:rsid w:val="0071773A"/>
    <w:rsid w:val="008A50D2"/>
    <w:rsid w:val="00951482"/>
    <w:rsid w:val="00A42F91"/>
    <w:rsid w:val="00A80A03"/>
    <w:rsid w:val="00AA1D8D"/>
    <w:rsid w:val="00B47730"/>
    <w:rsid w:val="00BF3A8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256BF4"/>
  <w14:defaultImageDpi w14:val="300"/>
  <w15:docId w15:val="{4E53DBF9-89AE-41B1-9C20-8B955C53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1773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4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Ademola Adesoye</cp:lastModifiedBy>
  <cp:revision>2</cp:revision>
  <dcterms:created xsi:type="dcterms:W3CDTF">2025-02-14T20:21:00Z</dcterms:created>
  <dcterms:modified xsi:type="dcterms:W3CDTF">2025-02-14T20:21:00Z</dcterms:modified>
  <cp:category/>
</cp:coreProperties>
</file>