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Users can create member profiles internally or by connecting external accounts.</w:t>
            </w:r>
          </w:p>
          <w:p w:rsidR="00000000" w:rsidDel="00000000" w:rsidP="00000000" w:rsidRDefault="00000000" w:rsidRPr="00000000" w14:paraId="0000000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must process financial transactions.</w:t>
            </w:r>
          </w:p>
          <w:p w:rsidR="00000000" w:rsidDel="00000000" w:rsidP="00000000" w:rsidRDefault="00000000" w:rsidRPr="00000000" w14:paraId="0000000B">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app should be in compliance with PCI-DSS.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r w:rsidDel="00000000" w:rsidR="00000000" w:rsidRPr="00000000">
              <w:rPr>
                <w:rtl w:val="0"/>
              </w:rPr>
            </w:r>
          </w:p>
          <w:p w:rsidR="00000000" w:rsidDel="00000000" w:rsidP="00000000" w:rsidRDefault="00000000" w:rsidRPr="00000000" w14:paraId="0000000E">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9">
            <w:pPr>
              <w:widowControl w:val="0"/>
              <w:numPr>
                <w:ilvl w:val="0"/>
                <w:numId w:val="2"/>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 incident response procedures, password policy, principle of least privilege</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