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nmd8ohwnwyn" w:id="0"/>
      <w:bookmarkEnd w:id="0"/>
      <w:r w:rsidDel="00000000" w:rsidR="00000000" w:rsidRPr="00000000">
        <w:rPr>
          <w:b w:val="1"/>
          <w:bCs w:val="1"/>
          <w:sz w:val="46"/>
          <w:szCs w:val="46"/>
          <w:rtl w:val="0"/>
        </w:rPr>
        <w:t xml:space="preserve">GreenLens — Individual Contribution Statements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Team:</w:t>
      </w:r>
      <w:r w:rsidDel="00000000" w:rsidR="00000000" w:rsidRPr="00000000">
        <w:rPr>
          <w:rtl w:val="0"/>
        </w:rPr>
        <w:t xml:space="preserve"> 67 Braincells </w:t>
      </w:r>
      <w:r w:rsidDel="00000000" w:rsidR="00000000" w:rsidRPr="00000000">
        <w:rPr>
          <w:b w:val="1"/>
          <w:bCs w:val="1"/>
          <w:rtl w:val="0"/>
        </w:rPr>
        <w:t xml:space="preserve">Course:</w:t>
      </w:r>
      <w:r w:rsidDel="00000000" w:rsidR="00000000" w:rsidRPr="00000000">
        <w:rPr>
          <w:rtl w:val="0"/>
        </w:rPr>
        <w:t xml:space="preserve"> C240 AI Essentials and Innovation — Final Assessment</w:t>
      </w:r>
    </w:p>
    <w:p w:rsidR="00000000" w:rsidDel="00000000" w:rsidP="00000000" w:rsidRDefault="00000000" w:rsidRPr="00000000" w14:paraId="00000003">
      <w:pPr>
        <w:spacing w:after="240" w:before="240" w:lineRule="auto"/>
        <w:rPr/>
      </w:pPr>
      <w:r w:rsidDel="00000000" w:rsidR="00000000" w:rsidRPr="00000000">
        <w:rPr>
          <w:rtl w:val="0"/>
        </w:rPr>
        <w:t xml:space="preserve">Each statement below describes the individual's personal contribution to the project. These statements are to be reviewed and endorsed by all team members before submission.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4437u64mskn" w:id="1"/>
      <w:bookmarkEnd w:id="1"/>
      <w:r w:rsidDel="00000000" w:rsidR="00000000" w:rsidRPr="00000000">
        <w:rPr>
          <w:b w:val="1"/>
          <w:bCs w:val="1"/>
          <w:sz w:val="34"/>
          <w:szCs w:val="34"/>
          <w:rtl w:val="0"/>
        </w:rPr>
        <w:t xml:space="preserve">Liew Qi Xuan Xanthus — Solution Lead</w:t>
      </w:r>
    </w:p>
    <w:p w:rsidR="00000000" w:rsidDel="00000000" w:rsidP="00000000" w:rsidRDefault="00000000" w:rsidRPr="00000000" w14:paraId="00000006">
      <w:pPr>
        <w:spacing w:after="240" w:before="240" w:lineRule="auto"/>
        <w:rPr/>
      </w:pPr>
      <w:r w:rsidDel="00000000" w:rsidR="00000000" w:rsidRPr="00000000">
        <w:rPr>
          <w:rtl w:val="0"/>
        </w:rPr>
        <w:t xml:space="preserve">As Solution Lead, I was responsible for the core logic, tool selection, and prompt design behind GreenLens. This included deciding to build the workflow in n8n rather than Botpress, since it let us chain image recognition, RAG retrieval, and response generation into one automated pipeline, and moving the RAG knowledge base to n8n's Vector Store instead of NotebookLM for the same reason. I also wrote and refined the prompts for both AI agents, including fixing a bug where the agent had no incentive to query the RAG tool since the NEA reference was hardcoded into the prompt, and splitting one shared agent into two separate ones once a single prompt proved too rigid to handle both structured tickets and open-ended follow-up chat.</w:t>
      </w:r>
    </w:p>
    <w:p w:rsidR="00000000" w:rsidDel="00000000" w:rsidP="00000000" w:rsidRDefault="00000000" w:rsidRPr="00000000" w14:paraId="00000007">
      <w:pPr>
        <w:spacing w:after="240" w:before="240" w:lineRule="auto"/>
        <w:rPr/>
      </w:pPr>
      <w:r w:rsidDel="00000000" w:rsidR="00000000" w:rsidRPr="00000000">
        <w:rPr>
          <w:rtl w:val="0"/>
        </w:rPr>
        <w:t xml:space="preserve">Beyond the AI logic, I handled getting the website deployed. The GitHub push kept failing due to a video file exceeding GitHub's 100MB limit, which required using </w:t>
      </w:r>
      <w:r w:rsidDel="00000000" w:rsidR="00000000" w:rsidRPr="00000000">
        <w:rPr>
          <w:rtl w:val="0"/>
        </w:rPr>
        <w:t xml:space="preserve">git filter-branch</w:t>
      </w:r>
      <w:r w:rsidDel="00000000" w:rsidR="00000000" w:rsidRPr="00000000">
        <w:rPr>
          <w:rtl w:val="0"/>
        </w:rPr>
        <w:t xml:space="preserve"> to remove it from the commit history entirely, and I found that GitHub Pages had never actually been enabled in the repo settings, which was causing the live site to 404 even after the push succeeded. I also traced a bug in the weekly broadcast where the loop wasn't wired back to its own input, so only one user was receiving messages instead of all subscribers.</w:t>
      </w:r>
    </w:p>
    <w:p w:rsidR="00000000" w:rsidDel="00000000" w:rsidP="00000000" w:rsidRDefault="00000000" w:rsidRPr="00000000" w14:paraId="00000008">
      <w:pPr>
        <w:spacing w:after="240" w:before="240" w:lineRule="auto"/>
        <w:rPr/>
      </w:pPr>
      <w:r w:rsidDel="00000000" w:rsidR="00000000" w:rsidRPr="00000000">
        <w:rPr>
          <w:rtl w:val="0"/>
        </w:rPr>
        <w:t xml:space="preserve">The main lesson was that solution logic and deployment reliability are equally important. A well-designed prompt or workflow doesn't matter if the product never reaches the user, so debugging both required the same discipline: checking actual error output rather than assuming the cause.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Endorsed by:</w:t>
      </w:r>
      <w:r w:rsidDel="00000000" w:rsidR="00000000" w:rsidRPr="00000000">
        <w:rPr/>
        <w:drawing>
          <wp:inline distB="114300" distT="114300" distL="114300" distR="114300">
            <wp:extent cx="1646472" cy="846103"/>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646472" cy="84610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qxwrisy334n" w:id="2"/>
      <w:bookmarkEnd w:id="2"/>
      <w:r w:rsidDel="00000000" w:rsidR="00000000" w:rsidRPr="00000000">
        <w:rPr>
          <w:b w:val="1"/>
          <w:bCs w:val="1"/>
          <w:sz w:val="34"/>
          <w:szCs w:val="34"/>
          <w:rtl w:val="0"/>
        </w:rPr>
        <w:t xml:space="preserve">Bryan Ee Yong Le — Data Lead</w:t>
      </w:r>
    </w:p>
    <w:p w:rsidR="00000000" w:rsidDel="00000000" w:rsidP="00000000" w:rsidRDefault="00000000" w:rsidRPr="00000000" w14:paraId="0000000C">
      <w:pPr>
        <w:spacing w:after="240" w:before="240" w:lineRule="auto"/>
        <w:rPr/>
      </w:pPr>
      <w:r w:rsidDel="00000000" w:rsidR="00000000" w:rsidRPr="00000000">
        <w:rPr>
          <w:rtl w:val="0"/>
        </w:rPr>
        <w:t xml:space="preserve">I was responsible for the retrieval and data layer of GreenLens. This involved structuring NEA's recycling guidelines into a format suitable for RAG, parsing the source material into pageContent and metadata fields, and setting up the vector store insertion workflow. I worked through issues in the data pipeline, including confirming that an unexpected increase in stored entries after insertion was due to normal text chunking rather than duplication, and helping resolve a mismatch where the insert and retrieval workflows were pointing at different memory keys, which had been silently preventing the live bot from accessing the newly loaded data. I also contributed to testing the bot's classification accuracy across different item categories.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Endorsed by:</w:t>
      </w:r>
      <w:r w:rsidDel="00000000" w:rsidR="00000000" w:rsidRPr="00000000">
        <w:rPr/>
        <w:drawing>
          <wp:inline distB="114300" distT="114300" distL="114300" distR="114300">
            <wp:extent cx="1752600" cy="12954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52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m1eumqj5vl8" w:id="3"/>
      <w:bookmarkEnd w:id="3"/>
      <w:r w:rsidDel="00000000" w:rsidR="00000000" w:rsidRPr="00000000">
        <w:rPr>
          <w:b w:val="1"/>
          <w:bCs w:val="1"/>
          <w:sz w:val="34"/>
          <w:szCs w:val="34"/>
          <w:rtl w:val="0"/>
        </w:rPr>
        <w:t xml:space="preserve">Ge Youyou — Media Lead</w:t>
      </w:r>
    </w:p>
    <w:p w:rsidR="00000000" w:rsidDel="00000000" w:rsidP="00000000" w:rsidRDefault="00000000" w:rsidRPr="00000000" w14:paraId="00000010">
      <w:pPr>
        <w:spacing w:after="240" w:before="240" w:lineRule="auto"/>
        <w:rPr/>
      </w:pPr>
      <w:r w:rsidDel="00000000" w:rsidR="00000000" w:rsidRPr="00000000">
        <w:rPr>
          <w:rtl w:val="0"/>
        </w:rPr>
        <w:t xml:space="preserve">I led the visual and media direction for GreenLens, including the website's branding, the promotional video, and supporting visual assets like the poster and logo. My focus was ensuring the product had a consistent look and tone across the website and promotional materials, using a sage green and charcoal palette to reflect the "recycle right" identity. I worked on producing the demo video and adapting it to fit the site's design once it was embedded, including troubleshooting playback issues after the video needed to move to external hosting.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Endorsed by:</w:t>
      </w:r>
      <w:r w:rsidDel="00000000" w:rsidR="00000000" w:rsidRPr="00000000">
        <w:rPr>
          <w:rtl w:val="0"/>
        </w:rPr>
        <w:t xml:space="preserve"> </w:t>
      </w:r>
      <w:r w:rsidDel="00000000" w:rsidR="00000000" w:rsidRPr="00000000">
        <w:rPr/>
        <w:drawing>
          <wp:inline distB="114300" distT="114300" distL="114300" distR="114300">
            <wp:extent cx="2705100" cy="11144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051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wbemn4rmotz" w:id="4"/>
      <w:bookmarkEnd w:id="4"/>
      <w:r w:rsidDel="00000000" w:rsidR="00000000" w:rsidRPr="00000000">
        <w:rPr>
          <w:b w:val="1"/>
          <w:bCs w:val="1"/>
          <w:sz w:val="34"/>
          <w:szCs w:val="34"/>
          <w:rtl w:val="0"/>
        </w:rPr>
        <w:t xml:space="preserve">Klauzann Tan Jing Ting — Comms Lead</w:t>
      </w:r>
    </w:p>
    <w:p w:rsidR="00000000" w:rsidDel="00000000" w:rsidP="00000000" w:rsidRDefault="00000000" w:rsidRPr="00000000" w14:paraId="00000014">
      <w:pPr>
        <w:spacing w:after="240" w:before="240" w:lineRule="auto"/>
        <w:rPr/>
      </w:pPr>
      <w:r w:rsidDel="00000000" w:rsidR="00000000" w:rsidRPr="00000000">
        <w:rPr>
          <w:rtl w:val="0"/>
        </w:rPr>
        <w:t xml:space="preserve">I was responsible for the report, slide deck, and overall written communication of the project. This included structuring the report to reflect our actual system architecture and testing process, documenting the bugs and fixes the team encountered during development, and making sure our tool choices and design decisions were clearly explained and justified. I also worked on reconciling inconsistencies between our original proposal and the final build, such as the change from NotebookLM to n8n's Vector Store for RAG, and made sure our reporting stayed consistent across the report, slides, and website content.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Endorsed by:</w:t>
      </w:r>
      <w:r w:rsidDel="00000000" w:rsidR="00000000" w:rsidRPr="00000000">
        <w:rPr>
          <w:rtl w:val="0"/>
        </w:rPr>
        <w:t xml:space="preserve"> </w:t>
      </w:r>
      <w:r w:rsidDel="00000000" w:rsidR="00000000" w:rsidRPr="00000000">
        <w:rPr/>
        <w:drawing>
          <wp:inline distB="114300" distT="114300" distL="114300" distR="114300">
            <wp:extent cx="2752725" cy="647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527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4e6oyu30qfj" w:id="5"/>
      <w:bookmarkEnd w:id="5"/>
      <w:r w:rsidDel="00000000" w:rsidR="00000000" w:rsidRPr="00000000">
        <w:rPr>
          <w:b w:val="1"/>
          <w:bCs w:val="1"/>
          <w:sz w:val="34"/>
          <w:szCs w:val="34"/>
          <w:rtl w:val="0"/>
        </w:rPr>
        <w:t xml:space="preserve">Lim Yi Ming — QA/Testing Lead</w:t>
      </w:r>
    </w:p>
    <w:p w:rsidR="00000000" w:rsidDel="00000000" w:rsidP="00000000" w:rsidRDefault="00000000" w:rsidRPr="00000000" w14:paraId="00000018">
      <w:pPr>
        <w:spacing w:after="240" w:before="240" w:lineRule="auto"/>
        <w:rPr/>
      </w:pPr>
      <w:r w:rsidDel="00000000" w:rsidR="00000000" w:rsidRPr="00000000">
        <w:rPr>
          <w:rtl w:val="0"/>
        </w:rPr>
        <w:t xml:space="preserve">I focused on testing and iterating GreenLens throughout development, running through a range of test cases covering different waste categories, including plastics, e-waste, bulky items, and edge cases like unidentifiable objects, to confirm the bot responded correctly. I also worked through the demo walkthrough process ahead of submission, identifying issues such as the weekly broadcast only reaching one user instead of all subscribers, which turned out to be caused by a missing loop connection in the workflow. My role centered on making sure the product behaved reliably before it reached real users, not just in ideal conditions.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Endorsed by:</w:t>
      </w:r>
      <w:r w:rsidDel="00000000" w:rsidR="00000000" w:rsidRPr="00000000">
        <w:rPr>
          <w:rtl w:val="0"/>
        </w:rPr>
        <w:t xml:space="preserve"> </w:t>
      </w:r>
      <w:r w:rsidDel="00000000" w:rsidR="00000000" w:rsidRPr="00000000">
        <w:rPr/>
        <w:drawing>
          <wp:inline distB="114300" distT="114300" distL="114300" distR="114300">
            <wp:extent cx="2228850" cy="127635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22885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