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left"/>
      </w:pPr>
      <w:r>
        <w:rPr>
          <w:b/>
          <w:bCs/>
          <w:color w:val="B9791E"/>
          <w:sz w:val="24"/>
          <w:szCs w:val="24"/>
        </w:rPr>
        <w:t xml:space="preserve">DOCUMENTAÇÃO DE PROJETO</w:t>
      </w:r>
    </w:p>
    <w:p>
      <w:pPr>
        <w:spacing w:after="120" w:before="120"/>
      </w:pPr>
      <w:r>
        <w:rPr>
          <w:b/>
          <w:bCs/>
          <w:color w:val="16241C"/>
          <w:sz w:val="56"/>
          <w:szCs w:val="56"/>
        </w:rPr>
        <w:t xml:space="preserve">Painel do Desmatamento no Brasil</w:t>
      </w:r>
    </w:p>
    <w:p>
      <w:pPr>
        <w:spacing w:after="500"/>
      </w:pPr>
      <w:r>
        <w:rPr>
          <w:i/>
          <w:iCs/>
          <w:color w:val="5B6B5D"/>
          <w:sz w:val="26"/>
          <w:szCs w:val="26"/>
        </w:rPr>
        <w:t xml:space="preserve">Painel de análise de dados sobre o desmatamento na Amazônia Legal e no Cerrado, com gráficos e tabelas dos últimos 5 anos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D8D8D0" w:sz="2"/>
          <w:insideV w:val="none"/>
        </w:tblBorders>
      </w:tblPr>
      <w:tblGrid>
        <w:gridCol w:w="2400"/>
        <w:gridCol w:w="6800"/>
      </w:tblGrid>
      <w:tr>
        <w:tc>
          <w:tcPr>
            <w:tcW w:type="dxa" w:w="2400"/>
            <w:tcMar>
              <w:top w:type="dxa" w:w="80"/>
              <w:left w:type="dxa" w:w="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6241C"/>
                <w:sz w:val="20"/>
                <w:szCs w:val="20"/>
              </w:rPr>
              <w:t xml:space="preserve">Cliente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0"/>
            </w:tcMar>
          </w:tcPr>
          <w:p>
            <w:r>
              <w:rPr>
                <w:color w:val="2A2A2A"/>
                <w:sz w:val="20"/>
                <w:szCs w:val="20"/>
              </w:rPr>
              <w:t xml:space="preserve">[Nome do cliente]</w:t>
            </w:r>
          </w:p>
        </w:tc>
      </w:tr>
      <w:tr>
        <w:tc>
          <w:tcPr>
            <w:tcW w:type="dxa" w:w="2400"/>
            <w:tcMar>
              <w:top w:type="dxa" w:w="80"/>
              <w:left w:type="dxa" w:w="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6241C"/>
                <w:sz w:val="20"/>
                <w:szCs w:val="20"/>
              </w:rPr>
              <w:t xml:space="preserve">Projeto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0"/>
            </w:tcMar>
          </w:tcPr>
          <w:p>
            <w:r>
              <w:rPr>
                <w:color w:val="2A2A2A"/>
                <w:sz w:val="20"/>
                <w:szCs w:val="20"/>
              </w:rPr>
              <w:t xml:space="preserve">Painel do Desmatamento no Brasil (2021–2025)</w:t>
            </w:r>
          </w:p>
        </w:tc>
      </w:tr>
      <w:tr>
        <w:tc>
          <w:tcPr>
            <w:tcW w:type="dxa" w:w="2400"/>
            <w:tcMar>
              <w:top w:type="dxa" w:w="80"/>
              <w:left w:type="dxa" w:w="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6241C"/>
                <w:sz w:val="20"/>
                <w:szCs w:val="20"/>
              </w:rPr>
              <w:t xml:space="preserve">Tipo de entrega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0"/>
            </w:tcMar>
          </w:tcPr>
          <w:p>
            <w:r>
              <w:rPr>
                <w:color w:val="2A2A2A"/>
                <w:sz w:val="20"/>
                <w:szCs w:val="20"/>
              </w:rPr>
              <w:t xml:space="preserve">Site estático (HTML, CSS e JavaScript)</w:t>
            </w:r>
          </w:p>
        </w:tc>
      </w:tr>
      <w:tr>
        <w:tc>
          <w:tcPr>
            <w:tcW w:type="dxa" w:w="2400"/>
            <w:tcMar>
              <w:top w:type="dxa" w:w="80"/>
              <w:left w:type="dxa" w:w="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6241C"/>
                <w:sz w:val="20"/>
                <w:szCs w:val="20"/>
              </w:rPr>
              <w:t xml:space="preserve">Versão do documento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0"/>
            </w:tcMar>
          </w:tcPr>
          <w:p>
            <w:r>
              <w:rPr>
                <w:color w:val="2A2A2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Mar>
              <w:top w:type="dxa" w:w="80"/>
              <w:left w:type="dxa" w:w="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6241C"/>
                <w:sz w:val="20"/>
                <w:szCs w:val="20"/>
              </w:rPr>
              <w:t xml:space="preserve">Data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0"/>
            </w:tcMar>
          </w:tcPr>
          <w:p>
            <w:r>
              <w:rPr>
                <w:color w:val="2A2A2A"/>
                <w:sz w:val="20"/>
                <w:szCs w:val="20"/>
              </w:rPr>
              <w:t xml:space="preserve">14 de setembro de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9791E" w:sz="12" w:space="6"/>
        </w:pBdr>
        <w:spacing w:after="160" w:before="320"/>
      </w:pPr>
      <w:r>
        <w:rPr>
          <w:b/>
          <w:bCs/>
          <w:color w:val="16241C"/>
        </w:rPr>
        <w:t xml:space="preserve">1. Ideia do projeto</w:t>
      </w:r>
    </w:p>
    <w:p>
      <w:pPr>
        <w:spacing w:after="180" w:line="300"/>
      </w:pPr>
      <w:r>
        <w:rPr>
          <w:color w:val="2A2A2A"/>
          <w:sz w:val="22"/>
          <w:szCs w:val="22"/>
        </w:rPr>
        <w:t xml:space="preserve">O desmatamento é um dos temas ambientais mais relevantes do Brasil, com impacto direto em políticas públicas, acordos internacionais de clima e na percepção do país no exterior. Apesar de os dados oficiais serem publicados regularmente pelo INPE por meio do programa PRODES, eles costumam ser divulgados em notas técnicas e relatórios extensos, pouco acessíveis para quem não é especialista no assunto.</w:t>
      </w:r>
    </w:p>
    <w:p>
      <w:pPr>
        <w:spacing w:after="180" w:line="300"/>
      </w:pPr>
      <w:r>
        <w:rPr>
          <w:color w:val="2A2A2A"/>
          <w:sz w:val="22"/>
          <w:szCs w:val="22"/>
        </w:rPr>
        <w:t xml:space="preserve">A ideia do projeto é traduzir esses dados oficiais em um painel visual, direto e de fácil leitura, reunindo em uma única página a evolução do desmatamento nos últimos 5 anos, sua distribuição entre os estados da Amazônia Legal e uma comparação com outro bioma sob pressão semelhante, o Cerrado. O painel foi concebido como um site estático, sem necessidade de servidor ou banco de dados, o que facilita a hospedagem, a manutenção e o compartilhamento do link com qualquer pessoa interessada.</w:t>
      </w:r>
    </w:p>
    <w:p>
      <w:pPr>
        <w:pStyle w:val="Heading1"/>
        <w:pBdr>
          <w:bottom w:val="single" w:color="B9791E" w:sz="12" w:space="6"/>
        </w:pBdr>
        <w:spacing w:after="160" w:before="320"/>
      </w:pPr>
      <w:r>
        <w:rPr>
          <w:b/>
          <w:bCs/>
          <w:color w:val="16241C"/>
        </w:rPr>
        <w:t xml:space="preserve">2. Objetivo</w:t>
      </w:r>
    </w:p>
    <w:p>
      <w:pPr>
        <w:spacing w:after="180" w:line="300"/>
      </w:pPr>
      <w:r>
        <w:rPr>
          <w:color w:val="2A2A2A"/>
          <w:sz w:val="22"/>
          <w:szCs w:val="22"/>
        </w:rPr>
        <w:t xml:space="preserve">Disponibilizar um painel visual, construído em HTML, CSS e JavaScript, que apresente de forma clara e objetiva a evolução do desmatamento no Brasil nos últimos 5 anos, com base em dados oficiais do PRODES/INPE, permitindo que o usuário: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A2A2A"/>
          <w:sz w:val="22"/>
          <w:szCs w:val="22"/>
        </w:rPr>
        <w:t xml:space="preserve">Compreenda rapidamente a tendência geral (alta ou queda) do desmatamento na Amazônia Legal;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A2A2A"/>
          <w:sz w:val="22"/>
          <w:szCs w:val="22"/>
        </w:rPr>
        <w:t xml:space="preserve">Identifique quais estados mais contribuem para o desmatamento no ano mais recente;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A2A2A"/>
          <w:sz w:val="22"/>
          <w:szCs w:val="22"/>
        </w:rPr>
        <w:t xml:space="preserve">Compare a situação da Amazônia Legal com a de outro bioma brasileiro sob pressão, o Cerrado;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A2A2A"/>
          <w:sz w:val="22"/>
          <w:szCs w:val="22"/>
        </w:rPr>
        <w:t xml:space="preserve">Acesse as fontes oficiais dos dados para aprofundamento e verificação.</w:t>
      </w:r>
    </w:p>
    <w:p>
      <w:pPr>
        <w:spacing w:after="180" w:line="300"/>
      </w:pPr>
      <w:r>
        <w:rPr>
          <w:color w:val="2A2A2A"/>
          <w:sz w:val="22"/>
          <w:szCs w:val="22"/>
        </w:rPr>
        <w:t xml:space="preserve">O projeto não tem como objetivo substituir os relatórios técnicos do INPE, e sim servir como uma camada de leitura mais acessível desses dados para públicos não especializados: gestores, jornalistas, educadores, estudantes e o público em geral.</w:t>
      </w:r>
    </w:p>
    <w:p>
      <w:pPr>
        <w:pStyle w:val="Heading1"/>
        <w:pBdr>
          <w:bottom w:val="single" w:color="B9791E" w:sz="12" w:space="6"/>
        </w:pBdr>
        <w:spacing w:after="160" w:before="320"/>
      </w:pPr>
      <w:r>
        <w:rPr>
          <w:b/>
          <w:bCs/>
          <w:color w:val="16241C"/>
        </w:rPr>
        <w:t xml:space="preserve">3. Requisitos funcionais</w:t>
      </w:r>
    </w:p>
    <w:p>
      <w:pPr>
        <w:spacing w:after="180" w:line="300"/>
      </w:pPr>
      <w:r>
        <w:rPr>
          <w:color w:val="2A2A2A"/>
          <w:sz w:val="22"/>
          <w:szCs w:val="22"/>
        </w:rPr>
        <w:t xml:space="preserve">Requisitos funcionais descrevem o que o sistema deve fazer — as funcionalidades e comportamentos visíveis ao usuário final.</w:t>
      </w:r>
    </w:p>
    <w:tbl>
      <w:tblPr>
        <w:tblW w:type="dxa" w:w="9200"/>
        <w:tblBorders>
          <w:top w:val="single" w:color="D8D8D0" w:sz="2"/>
          <w:left w:val="single" w:color="D8D8D0" w:sz="2"/>
          <w:bottom w:val="single" w:color="D8D8D0" w:sz="2"/>
          <w:right w:val="single" w:color="D8D8D0" w:sz="2"/>
          <w:insideH w:val="single" w:color="D8D8D0" w:sz="2"/>
          <w:insideV w:val="single" w:color="D8D8D0" w:sz="2"/>
        </w:tblBorders>
      </w:tblPr>
      <w:tblGrid>
        <w:gridCol w:w="1300"/>
        <w:gridCol w:w="2600"/>
        <w:gridCol w:w="5300"/>
      </w:tblGrid>
      <w:tr>
        <w:trPr>
          <w:tblHeader/>
        </w:trPr>
        <w:tc>
          <w:tcPr>
            <w:tcW w:type="dxa" w:w="1300"/>
            <w:shd w:fill="16241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2600"/>
            <w:shd w:fill="16241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5300"/>
            <w:shd w:fill="16241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B9791E"/>
                <w:sz w:val="20"/>
                <w:szCs w:val="20"/>
              </w:rPr>
              <w:t xml:space="preserve">RF01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2A2A2A"/>
                <w:sz w:val="20"/>
                <w:szCs w:val="20"/>
              </w:rPr>
              <w:t xml:space="preserve">Evolução anual do desmatamento</w:t>
            </w:r>
          </w:p>
        </w:tc>
        <w:tc>
          <w:tcPr>
            <w:tcW w:type="dxa" w:w="5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Exibir, em gráfico de linha, a área desmatada (km²) na Amazônia Legal em cada um dos 5 anos mais recentes (2021–2025).</w:t>
            </w:r>
          </w:p>
        </w:tc>
      </w:tr>
      <w:tr>
        <w:tc>
          <w:tcPr>
            <w:tcW w:type="dxa" w:w="1300"/>
            <w:shd w:fill="F3F1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B9791E"/>
                <w:sz w:val="20"/>
                <w:szCs w:val="20"/>
              </w:rPr>
              <w:t xml:space="preserve">RF02</w:t>
            </w:r>
          </w:p>
        </w:tc>
        <w:tc>
          <w:tcPr>
            <w:tcW w:type="dxa" w:w="2600"/>
            <w:shd w:fill="F3F1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2A2A2A"/>
                <w:sz w:val="20"/>
                <w:szCs w:val="20"/>
              </w:rPr>
              <w:t xml:space="preserve">Tabela de evolução anual</w:t>
            </w:r>
          </w:p>
        </w:tc>
        <w:tc>
          <w:tcPr>
            <w:tcW w:type="dxa" w:w="5300"/>
            <w:shd w:fill="F3F1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Apresentar tabela com ano, área desmatada em km² e variação percentual em relação ao ano anterior, destacando queda ou alta.</w:t>
            </w:r>
          </w:p>
        </w:tc>
      </w:tr>
      <w:tr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B9791E"/>
                <w:sz w:val="20"/>
                <w:szCs w:val="20"/>
              </w:rPr>
              <w:t xml:space="preserve">RF03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2A2A2A"/>
                <w:sz w:val="20"/>
                <w:szCs w:val="20"/>
              </w:rPr>
              <w:t xml:space="preserve">Desmatamento por estado</w:t>
            </w:r>
          </w:p>
        </w:tc>
        <w:tc>
          <w:tcPr>
            <w:tcW w:type="dxa" w:w="5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Exibir, em gráfico de barras horizontais, a distribuição do desmatamento entre os principais estados da Amazônia Legal no ano mais recente disponível.</w:t>
            </w:r>
          </w:p>
        </w:tc>
      </w:tr>
      <w:tr>
        <w:tc>
          <w:tcPr>
            <w:tcW w:type="dxa" w:w="1300"/>
            <w:shd w:fill="F3F1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B9791E"/>
                <w:sz w:val="20"/>
                <w:szCs w:val="20"/>
              </w:rPr>
              <w:t xml:space="preserve">RF04</w:t>
            </w:r>
          </w:p>
        </w:tc>
        <w:tc>
          <w:tcPr>
            <w:tcW w:type="dxa" w:w="2600"/>
            <w:shd w:fill="F3F1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2A2A2A"/>
                <w:sz w:val="20"/>
                <w:szCs w:val="20"/>
              </w:rPr>
              <w:t xml:space="preserve">Ranking de estados</w:t>
            </w:r>
          </w:p>
        </w:tc>
        <w:tc>
          <w:tcPr>
            <w:tcW w:type="dxa" w:w="5300"/>
            <w:shd w:fill="F3F1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Listar os estados com maior área desmatada, indicando o valor absoluto em km² e uma barra de proporção em relação ao estado de maior índice.</w:t>
            </w:r>
          </w:p>
        </w:tc>
      </w:tr>
      <w:tr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B9791E"/>
                <w:sz w:val="20"/>
                <w:szCs w:val="20"/>
              </w:rPr>
              <w:t xml:space="preserve">RF05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2A2A2A"/>
                <w:sz w:val="20"/>
                <w:szCs w:val="20"/>
              </w:rPr>
              <w:t xml:space="preserve">Comparação entre biomas</w:t>
            </w:r>
          </w:p>
        </w:tc>
        <w:tc>
          <w:tcPr>
            <w:tcW w:type="dxa" w:w="5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Comparar, em gráfico de barras agrupadas, a taxa de desmatamento dos biomas Amazônia Legal e Cerrado nos dois últimos ciclos anuais.</w:t>
            </w:r>
          </w:p>
        </w:tc>
      </w:tr>
      <w:tr>
        <w:tc>
          <w:tcPr>
            <w:tcW w:type="dxa" w:w="1300"/>
            <w:shd w:fill="F3F1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B9791E"/>
                <w:sz w:val="20"/>
                <w:szCs w:val="20"/>
              </w:rPr>
              <w:t xml:space="preserve">RF06</w:t>
            </w:r>
          </w:p>
        </w:tc>
        <w:tc>
          <w:tcPr>
            <w:tcW w:type="dxa" w:w="2600"/>
            <w:shd w:fill="F3F1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2A2A2A"/>
                <w:sz w:val="20"/>
                <w:szCs w:val="20"/>
              </w:rPr>
              <w:t xml:space="preserve">Indicador consolidado</w:t>
            </w:r>
          </w:p>
        </w:tc>
        <w:tc>
          <w:tcPr>
            <w:tcW w:type="dxa" w:w="5300"/>
            <w:shd w:fill="F3F1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Exibir em destaque (hero) o total acumulado de área desmatada no período analisado, com uma referência de comparação de fácil entendimento.</w:t>
            </w:r>
          </w:p>
        </w:tc>
      </w:tr>
      <w:tr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B9791E"/>
                <w:sz w:val="20"/>
                <w:szCs w:val="20"/>
              </w:rPr>
              <w:t xml:space="preserve">RF07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2A2A2A"/>
                <w:sz w:val="20"/>
                <w:szCs w:val="20"/>
              </w:rPr>
              <w:t xml:space="preserve">Navegação por seções</w:t>
            </w:r>
          </w:p>
        </w:tc>
        <w:tc>
          <w:tcPr>
            <w:tcW w:type="dxa" w:w="5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Disponibilizar menu fixo no topo da página com links de rolagem suave para cada seção do painel (Evolução, Por estado, Amazônia × Cerrado, Fontes).</w:t>
            </w:r>
          </w:p>
        </w:tc>
      </w:tr>
      <w:tr>
        <w:tc>
          <w:tcPr>
            <w:tcW w:type="dxa" w:w="1300"/>
            <w:shd w:fill="F3F1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B9791E"/>
                <w:sz w:val="20"/>
                <w:szCs w:val="20"/>
              </w:rPr>
              <w:t xml:space="preserve">RF08</w:t>
            </w:r>
          </w:p>
        </w:tc>
        <w:tc>
          <w:tcPr>
            <w:tcW w:type="dxa" w:w="2600"/>
            <w:shd w:fill="F3F1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2A2A2A"/>
                <w:sz w:val="20"/>
                <w:szCs w:val="20"/>
              </w:rPr>
              <w:t xml:space="preserve">Transparência das fontes</w:t>
            </w:r>
          </w:p>
        </w:tc>
        <w:tc>
          <w:tcPr>
            <w:tcW w:type="dxa" w:w="5300"/>
            <w:shd w:fill="F3F1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Exibir, em seção própria, a origem dos dados e links para as fontes oficiais (INPE, PRODES/TerraBrasilis e Ministério do Meio Ambiente).</w:t>
            </w:r>
          </w:p>
        </w:tc>
      </w:tr>
      <w:tr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B9791E"/>
                <w:sz w:val="20"/>
                <w:szCs w:val="20"/>
              </w:rPr>
              <w:t xml:space="preserve">RF09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2A2A2A"/>
                <w:sz w:val="20"/>
                <w:szCs w:val="20"/>
              </w:rPr>
              <w:t xml:space="preserve">Indicação visual de tendência</w:t>
            </w:r>
          </w:p>
        </w:tc>
        <w:tc>
          <w:tcPr>
            <w:tcW w:type="dxa" w:w="5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Diferenciar visualmente, por cor, quando uma variação percentual representa redução (queda) ou aumento (alta) do desmatamento.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9791E" w:sz="12" w:space="6"/>
        </w:pBdr>
        <w:spacing w:after="160" w:before="320"/>
      </w:pPr>
      <w:r>
        <w:rPr>
          <w:b/>
          <w:bCs/>
          <w:color w:val="16241C"/>
        </w:rPr>
        <w:t xml:space="preserve">4. Requisitos não funcionais</w:t>
      </w:r>
    </w:p>
    <w:p>
      <w:pPr>
        <w:spacing w:after="180" w:line="300"/>
      </w:pPr>
      <w:r>
        <w:rPr>
          <w:color w:val="2A2A2A"/>
          <w:sz w:val="22"/>
          <w:szCs w:val="22"/>
        </w:rPr>
        <w:t xml:space="preserve">Requisitos não funcionais descrevem restrições e qualidades de como o sistema deve funcionar — desempenho, compatibilidade, manutenibilidade e demais atributos de qualidade.</w:t>
      </w:r>
    </w:p>
    <w:tbl>
      <w:tblPr>
        <w:tblW w:type="dxa" w:w="9200"/>
        <w:tblBorders>
          <w:top w:val="single" w:color="D8D8D0" w:sz="2"/>
          <w:left w:val="single" w:color="D8D8D0" w:sz="2"/>
          <w:bottom w:val="single" w:color="D8D8D0" w:sz="2"/>
          <w:right w:val="single" w:color="D8D8D0" w:sz="2"/>
          <w:insideH w:val="single" w:color="D8D8D0" w:sz="2"/>
          <w:insideV w:val="single" w:color="D8D8D0" w:sz="2"/>
        </w:tblBorders>
      </w:tblPr>
      <w:tblGrid>
        <w:gridCol w:w="1300"/>
        <w:gridCol w:w="2600"/>
        <w:gridCol w:w="5300"/>
      </w:tblGrid>
      <w:tr>
        <w:trPr>
          <w:tblHeader/>
        </w:trPr>
        <w:tc>
          <w:tcPr>
            <w:tcW w:type="dxa" w:w="1300"/>
            <w:shd w:fill="16241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2600"/>
            <w:shd w:fill="16241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5300"/>
            <w:shd w:fill="16241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B9791E"/>
                <w:sz w:val="20"/>
                <w:szCs w:val="20"/>
              </w:rPr>
              <w:t xml:space="preserve">RNF01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2A2A2A"/>
                <w:sz w:val="20"/>
                <w:szCs w:val="20"/>
              </w:rPr>
              <w:t xml:space="preserve">Desempenho</w:t>
            </w:r>
          </w:p>
        </w:tc>
        <w:tc>
          <w:tcPr>
            <w:tcW w:type="dxa" w:w="5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A página deve carregar por completo em até 2 segundos em conexão de banda larga padrão, considerando o peso total dos arquivos.</w:t>
            </w:r>
          </w:p>
        </w:tc>
      </w:tr>
      <w:tr>
        <w:tc>
          <w:tcPr>
            <w:tcW w:type="dxa" w:w="1300"/>
            <w:shd w:fill="F3F1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B9791E"/>
                <w:sz w:val="20"/>
                <w:szCs w:val="20"/>
              </w:rPr>
              <w:t xml:space="preserve">RNF02</w:t>
            </w:r>
          </w:p>
        </w:tc>
        <w:tc>
          <w:tcPr>
            <w:tcW w:type="dxa" w:w="2600"/>
            <w:shd w:fill="F3F1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2A2A2A"/>
                <w:sz w:val="20"/>
                <w:szCs w:val="20"/>
              </w:rPr>
              <w:t xml:space="preserve">Independência de serviços externos</w:t>
            </w:r>
          </w:p>
        </w:tc>
        <w:tc>
          <w:tcPr>
            <w:tcW w:type="dxa" w:w="5300"/>
            <w:shd w:fill="F3F1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Os gráficos devem ser renderizados nativamente em SVG via JavaScript, sem depender de bibliotecas de terceiros carregadas por CDN, garantindo funcionamento mesmo em redes corporativas restritivas.</w:t>
            </w:r>
          </w:p>
        </w:tc>
      </w:tr>
      <w:tr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B9791E"/>
                <w:sz w:val="20"/>
                <w:szCs w:val="20"/>
              </w:rPr>
              <w:t xml:space="preserve">RNF03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2A2A2A"/>
                <w:sz w:val="20"/>
                <w:szCs w:val="20"/>
              </w:rPr>
              <w:t xml:space="preserve">Compatibilidade</w:t>
            </w:r>
          </w:p>
        </w:tc>
        <w:tc>
          <w:tcPr>
            <w:tcW w:type="dxa" w:w="5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O site deve funcionar corretamente nas duas versões mais recentes dos navegadores Chrome, Firefox, Edge e Safari.</w:t>
            </w:r>
          </w:p>
        </w:tc>
      </w:tr>
      <w:tr>
        <w:tc>
          <w:tcPr>
            <w:tcW w:type="dxa" w:w="1300"/>
            <w:shd w:fill="F3F1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B9791E"/>
                <w:sz w:val="20"/>
                <w:szCs w:val="20"/>
              </w:rPr>
              <w:t xml:space="preserve">RNF04</w:t>
            </w:r>
          </w:p>
        </w:tc>
        <w:tc>
          <w:tcPr>
            <w:tcW w:type="dxa" w:w="2600"/>
            <w:shd w:fill="F3F1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2A2A2A"/>
                <w:sz w:val="20"/>
                <w:szCs w:val="20"/>
              </w:rPr>
              <w:t xml:space="preserve">Responsividade</w:t>
            </w:r>
          </w:p>
        </w:tc>
        <w:tc>
          <w:tcPr>
            <w:tcW w:type="dxa" w:w="5300"/>
            <w:shd w:fill="F3F1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O layout deve se adaptar a telas de desktop, tablet e smartphone, reorganizando colunas e menus conforme a largura disponível.</w:t>
            </w:r>
          </w:p>
        </w:tc>
      </w:tr>
      <w:tr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B9791E"/>
                <w:sz w:val="20"/>
                <w:szCs w:val="20"/>
              </w:rPr>
              <w:t xml:space="preserve">RNF05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2A2A2A"/>
                <w:sz w:val="20"/>
                <w:szCs w:val="20"/>
              </w:rPr>
              <w:t xml:space="preserve">Usabilidade e acessibilidade</w:t>
            </w:r>
          </w:p>
        </w:tc>
        <w:tc>
          <w:tcPr>
            <w:tcW w:type="dxa" w:w="5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A interface deve manter hierarquia visual clara e contraste de cores adequado ao padrão WCAG AA, com foco de teclado visível nos elementos interativos.</w:t>
            </w:r>
          </w:p>
        </w:tc>
      </w:tr>
      <w:tr>
        <w:tc>
          <w:tcPr>
            <w:tcW w:type="dxa" w:w="1300"/>
            <w:shd w:fill="F3F1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B9791E"/>
                <w:sz w:val="20"/>
                <w:szCs w:val="20"/>
              </w:rPr>
              <w:t xml:space="preserve">RNF06</w:t>
            </w:r>
          </w:p>
        </w:tc>
        <w:tc>
          <w:tcPr>
            <w:tcW w:type="dxa" w:w="2600"/>
            <w:shd w:fill="F3F1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2A2A2A"/>
                <w:sz w:val="20"/>
                <w:szCs w:val="20"/>
              </w:rPr>
              <w:t xml:space="preserve">Manutenibilidade</w:t>
            </w:r>
          </w:p>
        </w:tc>
        <w:tc>
          <w:tcPr>
            <w:tcW w:type="dxa" w:w="5300"/>
            <w:shd w:fill="F3F1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O código-fonte deve ser organizado em três arquivos separados (index.html, style.css e script.js) e comentado, facilitando manutenção e evolução por terceiros.</w:t>
            </w:r>
          </w:p>
        </w:tc>
      </w:tr>
      <w:tr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B9791E"/>
                <w:sz w:val="20"/>
                <w:szCs w:val="20"/>
              </w:rPr>
              <w:t xml:space="preserve">RNF07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2A2A2A"/>
                <w:sz w:val="20"/>
                <w:szCs w:val="20"/>
              </w:rPr>
              <w:t xml:space="preserve">Hospedagem e disponibilidade</w:t>
            </w:r>
          </w:p>
        </w:tc>
        <w:tc>
          <w:tcPr>
            <w:tcW w:type="dxa" w:w="5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O site deve estar hospedado publicamente, acessível por URL, sem necessidade de instalação (hospedagem via GitHub Pages).</w:t>
            </w:r>
          </w:p>
        </w:tc>
      </w:tr>
      <w:tr>
        <w:tc>
          <w:tcPr>
            <w:tcW w:type="dxa" w:w="1300"/>
            <w:shd w:fill="F3F1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B9791E"/>
                <w:sz w:val="20"/>
                <w:szCs w:val="20"/>
              </w:rPr>
              <w:t xml:space="preserve">RNF08</w:t>
            </w:r>
          </w:p>
        </w:tc>
        <w:tc>
          <w:tcPr>
            <w:tcW w:type="dxa" w:w="2600"/>
            <w:shd w:fill="F3F1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2A2A2A"/>
                <w:sz w:val="20"/>
                <w:szCs w:val="20"/>
              </w:rPr>
              <w:t xml:space="preserve">Privacidade</w:t>
            </w:r>
          </w:p>
        </w:tc>
        <w:tc>
          <w:tcPr>
            <w:tcW w:type="dxa" w:w="5300"/>
            <w:shd w:fill="F3F1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Por se tratar de um site estático, a aplicação não deve coletar, armazenar ou transmitir dados pessoais dos visitantes.</w:t>
            </w:r>
          </w:p>
        </w:tc>
      </w:tr>
      <w:tr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B9791E"/>
                <w:sz w:val="20"/>
                <w:szCs w:val="20"/>
              </w:rPr>
              <w:t xml:space="preserve">RNF09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2A2A2A"/>
                <w:sz w:val="20"/>
                <w:szCs w:val="20"/>
              </w:rPr>
              <w:t xml:space="preserve">Atualização de conteúdo</w:t>
            </w:r>
          </w:p>
        </w:tc>
        <w:tc>
          <w:tcPr>
            <w:tcW w:type="dxa" w:w="5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A estrutura de dados (JavaScript) deve permitir a atualização dos valores anuais de forma simples, sem necessidade de alterar a lógica de renderização dos gráficos.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9791E" w:sz="12" w:space="6"/>
        </w:pBdr>
        <w:spacing w:after="160" w:before="320"/>
      </w:pPr>
      <w:r>
        <w:rPr>
          <w:b/>
          <w:bCs/>
          <w:color w:val="16241C"/>
        </w:rPr>
        <w:t xml:space="preserve">5. Anexo A — Captura do site entregue</w:t>
      </w:r>
    </w:p>
    <w:p>
      <w:pPr>
        <w:spacing w:after="180" w:line="300"/>
      </w:pPr>
      <w:r>
        <w:rPr>
          <w:color w:val="2A2A2A"/>
          <w:sz w:val="22"/>
          <w:szCs w:val="22"/>
        </w:rPr>
        <w:t xml:space="preserve">As imagens a seguir reproduzem, em formato de captura de tela, o conteúdo completo do painel entregue, conforme documento PDF fornecido pelo cliente.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738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8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504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Bdr>
          <w:bottom w:val="single" w:color="B9791E" w:sz="12" w:space="6"/>
        </w:pBdr>
        <w:spacing w:after="160" w:before="320"/>
      </w:pPr>
      <w:r>
        <w:rPr>
          <w:b/>
          <w:bCs/>
          <w:color w:val="16241C"/>
        </w:rPr>
        <w:t xml:space="preserve">6. Link de acesso ao site</w:t>
      </w:r>
    </w:p>
    <w:p>
      <w:pPr>
        <w:spacing w:after="180" w:line="300"/>
      </w:pPr>
      <w:r>
        <w:rPr>
          <w:color w:val="2A2A2A"/>
          <w:sz w:val="22"/>
          <w:szCs w:val="22"/>
        </w:rPr>
        <w:t xml:space="preserve">O painel está hospedado e disponível publicamente no endereço abaixo:</w:t>
      </w:r>
    </w:p>
    <w:p>
      <w:pPr>
        <w:spacing w:after="120" w:before="120"/>
      </w:pPr>
      <w:hyperlink w:history="1" r:id="rIdaydy8yuftrhkfq6gmmzaf">
        <w:r>
          <w:rPr>
            <w:b/>
            <w:bCs/>
            <w:color w:val="1155CC"/>
            <w:sz w:val="24"/>
            <w:szCs w:val="24"/>
            <w:u w:val="single"/>
          </w:rPr>
          <w:t xml:space="preserve">https://xaraknoxiel.github.io/Dashboard-Page/</w:t>
        </w:r>
      </w:hyperlink>
    </w:p>
    <w:p>
      <w:pPr>
        <w:spacing w:after="180" w:line="300"/>
      </w:pPr>
      <w:r>
        <w:rPr>
          <w:color w:val="2A2A2A"/>
          <w:sz w:val="22"/>
          <w:szCs w:val="22"/>
        </w:rPr>
        <w:t xml:space="preserve">Recomenda-se testar o acesso em ao menos dois navegadores diferentes e em um dispositivo móvel antes da validação final de entrega.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B5D"/>
        <w:sz w:val="16"/>
        <w:szCs w:val="16"/>
      </w:rPr>
      <w:t xml:space="preserve">Página </w:t>
    </w:r>
    <w:r>
      <w:rPr>
        <w:color w:val="5B6B5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B5D"/>
        <w:sz w:val="16"/>
        <w:szCs w:val="16"/>
      </w:rPr>
      <w:t xml:space="preserve"> de </w:t>
    </w:r>
    <w:r>
      <w:rPr>
        <w:color w:val="5B6B5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B5D"/>
        <w:sz w:val="16"/>
        <w:szCs w:val="16"/>
      </w:rPr>
      <w:t xml:space="preserve">Painel do Desmatamento — Documentação de Projeto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A2A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aydy8yuftrhkfq6gmmzaf" Type="http://schemas.openxmlformats.org/officeDocument/2006/relationships/hyperlink" Target="https://xaraknoxiel.github.io/Dashboard-Page/" TargetMode="External"/><Relationship Id="rId9" Type="http://schemas.openxmlformats.org/officeDocument/2006/relationships/image" Target="media/f6798dd3f9c744b8b844193d0bbccac676a26b97.jpg"/><Relationship Id="rId10" Type="http://schemas.openxmlformats.org/officeDocument/2006/relationships/image" Target="media/5abb2438edc853b9d1bbfa0f3ae44089c8f5ded9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2026-09-14T19:51:36.614Z</dcterms:created>
  <dcterms:modified xsi:type="dcterms:W3CDTF">2026-09-14T19:51:36.614Z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