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00000" w:rsidRDefault="001A03B3">
      <w:pPr>
        <w:pStyle w:val="pc"/>
      </w:pPr>
      <w:bookmarkStart w:id="0" w:name="_GoBack"/>
      <w:bookmarkEnd w:id="0"/>
      <w:r>
        <w:rPr>
          <w:rStyle w:val="s1"/>
        </w:rPr>
        <w:t>Решение Коллегии Евразийской экономической комиссии от 3 апреля 2018 года № 48</w:t>
      </w:r>
      <w:r>
        <w:rPr>
          <w:rStyle w:val="s1"/>
        </w:rPr>
        <w:br/>
        <w:t>О классификаторе видов документов регистрационного досье медицинского изделия</w:t>
      </w:r>
      <w:r>
        <w:rPr>
          <w:rStyle w:val="s1"/>
        </w:rPr>
        <w:br/>
        <w:t>(г. Москва)</w:t>
      </w:r>
    </w:p>
    <w:p w:rsidR="00000000" w:rsidRDefault="001A03B3">
      <w:pPr>
        <w:pStyle w:val="pc"/>
      </w:pPr>
      <w:r>
        <w:rPr>
          <w:rStyle w:val="s3"/>
        </w:rPr>
        <w:t xml:space="preserve">(с </w:t>
      </w:r>
      <w:hyperlink r:id="rId7" w:history="1">
        <w:r>
          <w:rPr>
            <w:rStyle w:val="a4"/>
            <w:i/>
            <w:iCs/>
          </w:rPr>
          <w:t>изменениями и дополнениями</w:t>
        </w:r>
      </w:hyperlink>
      <w:r>
        <w:rPr>
          <w:rStyle w:val="s3"/>
        </w:rPr>
        <w:t xml:space="preserve"> от 16.09.2023 г.)</w:t>
      </w:r>
    </w:p>
    <w:p w:rsidR="00000000" w:rsidRDefault="001A03B3">
      <w:pPr>
        <w:pStyle w:val="pc"/>
      </w:pPr>
      <w:r>
        <w:rPr>
          <w:rStyle w:val="s1"/>
        </w:rPr>
        <w:t> </w:t>
      </w:r>
    </w:p>
    <w:p w:rsidR="00000000" w:rsidRDefault="001A03B3">
      <w:pPr>
        <w:pStyle w:val="pj"/>
      </w:pPr>
      <w:r>
        <w:rPr>
          <w:rStyle w:val="s0"/>
        </w:rPr>
        <w:t xml:space="preserve">В соответствии со </w:t>
      </w:r>
      <w:hyperlink r:id="rId8" w:anchor="sub_id=310000" w:history="1">
        <w:r>
          <w:rPr>
            <w:rStyle w:val="a4"/>
          </w:rPr>
          <w:t>статьей 31</w:t>
        </w:r>
      </w:hyperlink>
      <w:r>
        <w:rPr>
          <w:rStyle w:val="s0"/>
        </w:rPr>
        <w:t xml:space="preserve"> Договора о Евразийском экономическом союзе от 29 мая 2014 года, </w:t>
      </w:r>
      <w:hyperlink r:id="rId9" w:anchor="sub_id=400" w:history="1">
        <w:r>
          <w:rPr>
            <w:rStyle w:val="a4"/>
          </w:rPr>
          <w:t>пунктами 4</w:t>
        </w:r>
      </w:hyperlink>
      <w:r>
        <w:rPr>
          <w:rStyle w:val="s0"/>
        </w:rPr>
        <w:t xml:space="preserve"> и </w:t>
      </w:r>
      <w:hyperlink r:id="rId10" w:anchor="sub_id=700" w:history="1">
        <w:r>
          <w:rPr>
            <w:rStyle w:val="a4"/>
          </w:rPr>
          <w:t>7</w:t>
        </w:r>
      </w:hyperlink>
      <w:r>
        <w:rPr>
          <w:rStyle w:val="s0"/>
        </w:rPr>
        <w:t xml:space="preserve"> Протокола об информационно-коммуникационных технологиях и информационном взаимодействии в рамках Евразийского э</w:t>
      </w:r>
      <w:r>
        <w:rPr>
          <w:rStyle w:val="s0"/>
        </w:rPr>
        <w:t xml:space="preserve">кономического союза (приложение № 3 к Договору о Евразийском экономическом союзе от 29 мая 2014 года) и руководствуясь </w:t>
      </w:r>
      <w:hyperlink r:id="rId11" w:anchor="sub_id=100" w:history="1">
        <w:r>
          <w:rPr>
            <w:rStyle w:val="a4"/>
          </w:rPr>
          <w:t>Положением</w:t>
        </w:r>
      </w:hyperlink>
      <w:r>
        <w:rPr>
          <w:rStyle w:val="s0"/>
        </w:rPr>
        <w:t xml:space="preserve"> о единой системе нормативно-справочной информ</w:t>
      </w:r>
      <w:r>
        <w:rPr>
          <w:rStyle w:val="s0"/>
        </w:rPr>
        <w:t xml:space="preserve">ации Евразийского экономического союза, утвержденным Решением Коллегии Евразийской экономической комиссии от 17 ноября 2015 г. № 155, Коллегия Евразийской экономической комиссии </w:t>
      </w:r>
      <w:r>
        <w:rPr>
          <w:rStyle w:val="s0"/>
          <w:b/>
          <w:bCs/>
        </w:rPr>
        <w:t>решила</w:t>
      </w:r>
      <w:r>
        <w:rPr>
          <w:rStyle w:val="s0"/>
        </w:rPr>
        <w:t>:</w:t>
      </w:r>
    </w:p>
    <w:p w:rsidR="00000000" w:rsidRDefault="001A03B3">
      <w:pPr>
        <w:pStyle w:val="pj"/>
      </w:pPr>
      <w:r>
        <w:rPr>
          <w:rStyle w:val="s0"/>
        </w:rPr>
        <w:t xml:space="preserve">1. Утвердить прилагаемый </w:t>
      </w:r>
      <w:hyperlink w:anchor="sub1" w:history="1">
        <w:r>
          <w:rPr>
            <w:rStyle w:val="a4"/>
          </w:rPr>
          <w:t>классификатор</w:t>
        </w:r>
      </w:hyperlink>
      <w:r>
        <w:rPr>
          <w:rStyle w:val="s0"/>
        </w:rPr>
        <w:t xml:space="preserve"> видо</w:t>
      </w:r>
      <w:r>
        <w:rPr>
          <w:rStyle w:val="s0"/>
        </w:rPr>
        <w:t>в документов регистрационного досье медицинского изделия (далее - классификатор).</w:t>
      </w:r>
    </w:p>
    <w:p w:rsidR="00000000" w:rsidRDefault="001A03B3">
      <w:pPr>
        <w:pStyle w:val="pj"/>
      </w:pPr>
      <w:r>
        <w:rPr>
          <w:rStyle w:val="s0"/>
        </w:rPr>
        <w:t>2. Включить классификатор в состав ресурсов единой системы нормативно-справочной информации Евразийского экономического союза.</w:t>
      </w:r>
    </w:p>
    <w:p w:rsidR="00000000" w:rsidRDefault="001A03B3">
      <w:pPr>
        <w:pStyle w:val="pj"/>
      </w:pPr>
      <w:r>
        <w:rPr>
          <w:rStyle w:val="s0"/>
        </w:rPr>
        <w:t>3. Установить, что:</w:t>
      </w:r>
    </w:p>
    <w:p w:rsidR="00000000" w:rsidRDefault="001A03B3">
      <w:pPr>
        <w:pStyle w:val="pj"/>
      </w:pPr>
      <w:r>
        <w:rPr>
          <w:rStyle w:val="s0"/>
        </w:rPr>
        <w:t>классификатор применяется с</w:t>
      </w:r>
      <w:r>
        <w:rPr>
          <w:rStyle w:val="s0"/>
        </w:rPr>
        <w:t xml:space="preserve"> даты вступления настоящего Решения в силу;</w:t>
      </w:r>
    </w:p>
    <w:p w:rsidR="00000000" w:rsidRDefault="001A03B3">
      <w:pPr>
        <w:pStyle w:val="pj"/>
      </w:pPr>
      <w:r>
        <w:rPr>
          <w:rStyle w:val="s0"/>
        </w:rPr>
        <w:t>использование кодовых обозначений классификатора является обязательным при реализации общих процессов в рамках Евразийского экономического союза в сфере обращения медицинских изделий.</w:t>
      </w:r>
    </w:p>
    <w:p w:rsidR="00000000" w:rsidRDefault="001A03B3">
      <w:pPr>
        <w:pStyle w:val="pj"/>
      </w:pPr>
      <w:r>
        <w:rPr>
          <w:rStyle w:val="s0"/>
        </w:rPr>
        <w:t>4. Настоящее Решение вступае</w:t>
      </w:r>
      <w:r>
        <w:rPr>
          <w:rStyle w:val="s0"/>
        </w:rPr>
        <w:t xml:space="preserve">т в силу по истечении 30 календарных дней с даты его официального </w:t>
      </w:r>
      <w:hyperlink r:id="rId12" w:history="1">
        <w:r>
          <w:rPr>
            <w:rStyle w:val="a4"/>
          </w:rPr>
          <w:t>опубликования</w:t>
        </w:r>
      </w:hyperlink>
      <w:r>
        <w:rPr>
          <w:rStyle w:val="s0"/>
        </w:rPr>
        <w:t>.</w:t>
      </w:r>
    </w:p>
    <w:p w:rsidR="00000000" w:rsidRDefault="001A03B3">
      <w:pPr>
        <w:pStyle w:val="pj"/>
      </w:pPr>
      <w:r>
        <w:rPr>
          <w:rStyle w:val="s0"/>
        </w:rPr>
        <w:t> </w:t>
      </w:r>
    </w:p>
    <w:p w:rsidR="00000000" w:rsidRDefault="001A03B3">
      <w:pPr>
        <w:pStyle w:val="pj"/>
      </w:pPr>
      <w: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13"/>
        <w:gridCol w:w="4158"/>
      </w:tblGrid>
      <w:tr w:rsidR="00000000">
        <w:tc>
          <w:tcPr>
            <w:tcW w:w="280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  <w:b/>
                <w:bCs/>
              </w:rPr>
              <w:t>Председатель Коллегии</w:t>
            </w:r>
          </w:p>
          <w:p w:rsidR="00000000" w:rsidRDefault="001A03B3">
            <w:pPr>
              <w:pStyle w:val="p"/>
            </w:pPr>
            <w:r>
              <w:rPr>
                <w:rStyle w:val="s0"/>
                <w:b/>
                <w:bCs/>
              </w:rPr>
              <w:t>Евразийской экономической комиссии</w:t>
            </w:r>
          </w:p>
        </w:tc>
        <w:tc>
          <w:tcPr>
            <w:tcW w:w="21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  <w:b/>
                <w:bCs/>
              </w:rPr>
              <w:t> </w:t>
            </w:r>
          </w:p>
          <w:p w:rsidR="00000000" w:rsidRDefault="001A03B3">
            <w:pPr>
              <w:pStyle w:val="pr"/>
            </w:pPr>
            <w:r>
              <w:rPr>
                <w:rStyle w:val="s0"/>
                <w:b/>
                <w:bCs/>
              </w:rPr>
              <w:t>Т. Саркисян</w:t>
            </w:r>
          </w:p>
        </w:tc>
      </w:tr>
    </w:tbl>
    <w:p w:rsidR="00000000" w:rsidRDefault="001A03B3">
      <w:pPr>
        <w:pStyle w:val="pj"/>
      </w:pPr>
      <w:r>
        <w:rPr>
          <w:rStyle w:val="s0"/>
        </w:rPr>
        <w:t> </w:t>
      </w:r>
    </w:p>
    <w:p w:rsidR="00000000" w:rsidRDefault="001A03B3">
      <w:pPr>
        <w:pStyle w:val="p"/>
      </w:pPr>
      <w:bookmarkStart w:id="1" w:name="SUB1"/>
      <w:bookmarkEnd w:id="1"/>
      <w:r>
        <w:rPr>
          <w:rStyle w:val="s0"/>
        </w:rPr>
        <w:t> </w:t>
      </w:r>
    </w:p>
    <w:p w:rsidR="00000000" w:rsidRDefault="001A03B3">
      <w:pPr>
        <w:pStyle w:val="pji"/>
      </w:pPr>
      <w:r>
        <w:rPr>
          <w:rStyle w:val="s3"/>
        </w:rPr>
        <w:t xml:space="preserve">В классификатор внесены изменения в соответствии с </w:t>
      </w:r>
      <w:hyperlink r:id="rId13" w:history="1">
        <w:r>
          <w:rPr>
            <w:rStyle w:val="a4"/>
            <w:i/>
            <w:iCs/>
          </w:rPr>
          <w:t>Решением</w:t>
        </w:r>
      </w:hyperlink>
      <w:r>
        <w:rPr>
          <w:rStyle w:val="s3"/>
        </w:rPr>
        <w:t xml:space="preserve"> Коллегии Евразийской экономической Комиссии от 15.08.23 г. № 110 (вступило в силу с 16 сентября 2023 г.) (</w:t>
      </w:r>
      <w:hyperlink r:id="rId14" w:anchor="sub_id=1" w:history="1">
        <w:r>
          <w:rPr>
            <w:rStyle w:val="a4"/>
            <w:i/>
            <w:iCs/>
          </w:rPr>
          <w:t>см. стар. ред.</w:t>
        </w:r>
      </w:hyperlink>
      <w:r>
        <w:rPr>
          <w:rStyle w:val="s3"/>
        </w:rPr>
        <w:t>)</w:t>
      </w:r>
    </w:p>
    <w:p w:rsidR="00000000" w:rsidRDefault="001A03B3">
      <w:pPr>
        <w:pStyle w:val="pr"/>
      </w:pPr>
      <w:r>
        <w:rPr>
          <w:rStyle w:val="s0"/>
        </w:rPr>
        <w:t>УТВЕРЖДЕН</w:t>
      </w:r>
    </w:p>
    <w:p w:rsidR="00000000" w:rsidRDefault="001A03B3">
      <w:pPr>
        <w:pStyle w:val="pr"/>
      </w:pPr>
      <w:hyperlink w:anchor="sub0" w:history="1">
        <w:r>
          <w:rPr>
            <w:rStyle w:val="s2"/>
          </w:rPr>
          <w:t>Решением</w:t>
        </w:r>
      </w:hyperlink>
      <w:r>
        <w:rPr>
          <w:rStyle w:val="s0"/>
        </w:rPr>
        <w:t xml:space="preserve"> Коллегии </w:t>
      </w:r>
    </w:p>
    <w:p w:rsidR="00000000" w:rsidRDefault="001A03B3">
      <w:pPr>
        <w:pStyle w:val="pr"/>
      </w:pPr>
      <w:r>
        <w:rPr>
          <w:rStyle w:val="s0"/>
        </w:rPr>
        <w:t>Евразийской экономической комиссии</w:t>
      </w:r>
    </w:p>
    <w:p w:rsidR="00000000" w:rsidRDefault="001A03B3">
      <w:pPr>
        <w:pStyle w:val="pr"/>
      </w:pPr>
      <w:r>
        <w:rPr>
          <w:rStyle w:val="s0"/>
        </w:rPr>
        <w:t>от 3 апреля 2018 г. № 48</w:t>
      </w:r>
    </w:p>
    <w:p w:rsidR="00000000" w:rsidRDefault="001A03B3">
      <w:pPr>
        <w:pStyle w:val="p"/>
      </w:pPr>
      <w:r>
        <w:rPr>
          <w:rStyle w:val="s0"/>
        </w:rPr>
        <w:t> </w:t>
      </w:r>
    </w:p>
    <w:p w:rsidR="00000000" w:rsidRDefault="001A03B3">
      <w:pPr>
        <w:pStyle w:val="pc"/>
      </w:pPr>
      <w:r>
        <w:rPr>
          <w:rStyle w:val="s1"/>
        </w:rPr>
        <w:t xml:space="preserve">КЛАССИФИКАТОР </w:t>
      </w:r>
      <w:r>
        <w:rPr>
          <w:rStyle w:val="s1"/>
        </w:rPr>
        <w:br/>
        <w:t xml:space="preserve">видов документов регистрационного </w:t>
      </w:r>
      <w:r>
        <w:rPr>
          <w:rStyle w:val="s1"/>
        </w:rPr>
        <w:br/>
        <w:t>досье медицинского</w:t>
      </w:r>
      <w:r>
        <w:rPr>
          <w:rStyle w:val="s1"/>
        </w:rPr>
        <w:t xml:space="preserve"> изделия</w:t>
      </w:r>
    </w:p>
    <w:p w:rsidR="00000000" w:rsidRDefault="001A03B3">
      <w:pPr>
        <w:pStyle w:val="p"/>
      </w:pPr>
      <w:r>
        <w:rPr>
          <w:rStyle w:val="s0"/>
        </w:rPr>
        <w:t> </w:t>
      </w:r>
    </w:p>
    <w:p w:rsidR="00000000" w:rsidRDefault="001A03B3">
      <w:pPr>
        <w:pStyle w:val="pc"/>
      </w:pPr>
      <w:r>
        <w:rPr>
          <w:rStyle w:val="s0"/>
        </w:rPr>
        <w:t>I. Детализированные сведения из классификатора</w:t>
      </w:r>
    </w:p>
    <w:p w:rsidR="00000000" w:rsidRDefault="001A03B3">
      <w:pPr>
        <w:pStyle w:val="p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93"/>
        <w:gridCol w:w="1402"/>
        <w:gridCol w:w="222"/>
        <w:gridCol w:w="6954"/>
      </w:tblGrid>
      <w:tr w:rsidR="00000000">
        <w:tc>
          <w:tcPr>
            <w:tcW w:w="50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Код раздела</w:t>
            </w:r>
          </w:p>
        </w:tc>
        <w:tc>
          <w:tcPr>
            <w:tcW w:w="80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Код вида документа</w:t>
            </w:r>
          </w:p>
        </w:tc>
        <w:tc>
          <w:tcPr>
            <w:tcW w:w="36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Наименование вида документа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01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Заявления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0101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заявление о проведении регистрации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0102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заявление о проведении экспертизы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0103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заявление о выдаче дубликата регистрационного удостоверения на медицинское изделие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0104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заявление о внесении изменений в регистрационное досье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0105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заявление об отмене (аннулировании) регистрационного удостоверения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0106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заявление о внесении изменений в регистрационное досье медицинского изделия в уведомительном порядке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0107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заявление о проведении согласования экспертного заключения на зарегистрированное медицинское изделие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02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Доверенности </w:t>
            </w:r>
            <w:r>
              <w:t>и договоры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0201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доверенность от производителя на право представления интересов при регистрации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0202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доверенность от производителя или уполномоченного представителя производителя на право представления интересов при проведении процедуры согласования экспертного заключения на зарегистрированное медицинское изделие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0203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договор производителя с уполно</w:t>
            </w:r>
            <w:r>
              <w:t>моченным представителем производителя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03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Декларации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0301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декларация о соответствии медицинского изделия обязательным требованиям государств, не являющихся членами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0302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документ, эквивалентный декларации о соответствии медицинского изделия обязательным требованиям государств, не являющихся членами Евразийского экономического союза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04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Сертификаты соответствия системы менеджмента качества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0401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сертификат о соответствии системы менеджмента качества производителя медицинских изделий требованиям стандарта </w:t>
            </w:r>
            <w:hyperlink r:id="rId15" w:history="1">
              <w:r>
                <w:rPr>
                  <w:rStyle w:val="a4"/>
                </w:rPr>
                <w:t>ISO 13485</w:t>
              </w:r>
            </w:hyperlink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0402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 о соответствии системы менеджмента качества про</w:t>
            </w:r>
            <w:r>
              <w:rPr>
                <w:rStyle w:val="s0"/>
              </w:rPr>
              <w:t xml:space="preserve">изводителя медицинских изделий требованиям регионального стандарта государства - члена Евразийского экономического союза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0403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 о соответствии системы менеджмента качества производителя медицинских изделий требованиям национального стандарта государства - члена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0404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 xml:space="preserve">сертификат о соответствии системы менеджмента качества производственной площадки требованиям стандарта </w:t>
            </w:r>
            <w:hyperlink r:id="rId16" w:history="1">
              <w:r>
                <w:rPr>
                  <w:rStyle w:val="a4"/>
                </w:rPr>
                <w:t>ISO 13485</w:t>
              </w:r>
            </w:hyperlink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0405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сертификат о соответствии системы менеджмента качества производственной площадки требованиям регионального стандарта государства – члена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0406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сертификат о соответствии системы менеджмента качества производственной площадки требованиям национального стандарта государства – члена Евразийского экономического союза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05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Разрешительные документы (лицензии)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0501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разрешительный документ, подтверждающий право производства в стране производителя 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06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подтверждающий регистрацию медицинского изделия в третьих странах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0601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подтверждающий регистрацию медицинского изделия в третьих странах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0602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сведения о регистрации в других странах со ссылкой на действующие источники таких сведений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07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j"/>
              <w:ind w:firstLine="0"/>
            </w:pPr>
            <w:r>
              <w:t>Регистрационные удостоверения, сертификаты на экспорт, сертификаты свободной продажи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0701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 свободной продажи, выданный в стране производителя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0702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 на экспорт, выданный в стране производителя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0703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 свободной продажи, выданный в стране производителя (перевод на русский язык)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0704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сертификат на экспорт, выданный в стране производителя (перевод на русский язык)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0705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регистрационное удостоверение медицинского изделия, выданное в стране производителя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0706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 xml:space="preserve">регистрационное удостоверение медицинского изделия, выданное в соответствии с правом Евразийского экономического союза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0707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 xml:space="preserve">дубликат регистрационного удостоверения медицинского изделия, выданного в соответствии с правом Евразийского экономического </w:t>
            </w:r>
            <w:r>
              <w:t>союза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08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Описание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0801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Исключена в соответствии с </w:t>
            </w:r>
            <w:hyperlink r:id="rId17" w:history="1">
              <w:r>
                <w:rPr>
                  <w:rStyle w:val="a4"/>
                </w:rPr>
                <w:t>Решением</w:t>
              </w:r>
            </w:hyperlink>
            <w:r>
              <w:rPr>
                <w:rStyle w:val="s0"/>
              </w:rPr>
              <w:t xml:space="preserve"> Коллегии Евразийской экономической Комиссии от 15.08.23 г. № 110 </w:t>
            </w:r>
            <w:r>
              <w:rPr>
                <w:rStyle w:val="s3"/>
              </w:rPr>
              <w:t>(вступило в силу с 16 сентября 2023 г.) (</w:t>
            </w:r>
            <w:hyperlink r:id="rId18" w:anchor="sub_id=1" w:history="1">
              <w:r>
                <w:rPr>
                  <w:rStyle w:val="a4"/>
                  <w:i/>
                  <w:iCs/>
                </w:rPr>
                <w:t>см. стар. ред.</w:t>
              </w:r>
            </w:hyperlink>
            <w:r>
              <w:rPr>
                <w:rStyle w:val="s3"/>
              </w:rPr>
              <w:t>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0802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фотографическое изображение общего вида медицинского изделия и его принадлежностей (при наличии)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09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Макеты упаковки и маркировки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0901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документ, содержащий текст маркировки на русском языке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0902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содержащий текст маркировки на государственном языке государства - члена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0903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макет упаковки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0904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макет этикетки для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0905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макет стикера для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0906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документ, содержащий данные о маркировке и упаковке, утвержденный при регистрации медицинского изделия, с учетом изменений, внесенных в регистрационное досье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0907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документ, содержащий текст маркировки на государственном языке (г</w:t>
            </w:r>
            <w:r>
              <w:t>осударственных языках) государства (государств) признания, указанного в заявлении о проведении согласования экспертного заключения на зарегистрированное медицинское изделие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10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Инструкции, руководства по эксплуатации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1001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эксплуатационный документ на медицинское изделие на русском языке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1002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эксплуатационный документ на медицинское изделие на государственном языке государства - члена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1003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инструкция по применению медицинского изделия на русском языке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1004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инструкция по применению медицинского изделия на государственном языке государства - члена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1005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руководство по сервисному обслуживанию медицинского изделия </w:t>
            </w:r>
            <w:r>
              <w:t>на русском языке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1006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руководство по сервисному обслуживанию медицинского изделия на государственном языке государства – члена Евразийского экономического союза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1007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эксплуатационный</w:t>
            </w:r>
            <w:r>
              <w:t xml:space="preserve"> документ, утвержденный при регистрации медицинского изделия, с учетом изменений, внесенных в регистрационное досье медицинского изделия, на государственном языке (государственных языках) государства (государств) признания, указанного в заявлении о проведе</w:t>
            </w:r>
            <w:r>
              <w:t>нии согласования экспертного заключения на зарегистрированное медицинское изделие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1008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инструкция по применению медицинского изделия, утвержденная при регистрации медицинского изделия, с учетом изменений, внесенных в регистрационное досье медицинского изделия, на государственном языке (государственных языках) государства (государств) признан</w:t>
            </w:r>
            <w:r>
              <w:t>ия, указанного в заявлении о проведении согласования экспертного заключения на зарегистрированное медицинское изделие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1009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руководство по сервисному обслуживанию, утвержденное при регистрации медицинского изделия, с учетом изменений, внесенных в рег</w:t>
            </w:r>
            <w:r>
              <w:t>истрационное досье медицинского изделия, на государственном языке (государственных языках) государства (государств) признания, указанного в заявлении о проведении согласования экспертного заключения</w:t>
            </w:r>
          </w:p>
          <w:p w:rsidR="00000000" w:rsidRDefault="001A03B3">
            <w:pPr>
              <w:pStyle w:val="p"/>
              <w:spacing w:line="276" w:lineRule="auto"/>
            </w:pPr>
            <w:r>
              <w:t>на зарегистрированное медицинское изделие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11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Обзоры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1101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краткий обзор нежелательных событий и (или) несчастных случаев, связанных с использованием медицинского изделия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12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Отчеты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1201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отчет о результатах первичного инспектирования производства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1202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отчет об анализе рисков </w:t>
            </w:r>
            <w:r>
              <w:t>и управлении ими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1203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отчет о клиническом доказательстве эффективности и безопасности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1204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отчет об исследованиях стабильности с аутентичным переводом на русский язык результатов испытаний (для изделий, имеющих срок хранения)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1205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отчет о клиническом испытании (исследовании)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1206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отчет о клинико-лабораторном испытании (исследовании) медицинского изделия для диагностики in vitro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1207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отчеты о результатах периодического (планового) инспектирования производства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1208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отчеты о результатах внепланового инспектирования произ</w:t>
            </w:r>
            <w:r>
              <w:t>водства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1209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отчет по оценке биологического действия медицинского изделия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13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Перечни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1301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перечень стандартов, которые применялись производителем при проектировании и производстве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1302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перечень нежелательных событий и (или) несчастных случаев, связанных с использованием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1303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перечень отзывов медицинских изделий с рынка и (или) пояснительных уведомлений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14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Планы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1401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план сбора и анализа данных о безопасности и эффективности медицинских изделий на постпродажном этапе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15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Протоколы </w:t>
            </w:r>
            <w:r>
              <w:t>и программы испытаний (исследований) для оценки безопасности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1501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протокол технических испытаний медицинского изделия, проведенных в целях доказательства его соответствия общим требованиям безопасности и эффективности медицинских изделий, требованиям к их маркировке и эксплуатационной документации на них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1502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про</w:t>
            </w:r>
            <w:r>
              <w:rPr>
                <w:rStyle w:val="s0"/>
              </w:rPr>
              <w:t xml:space="preserve">токол исследований (испытаний) </w:t>
            </w:r>
            <w:r>
              <w:t>по оценке</w:t>
            </w:r>
            <w:r>
              <w:rPr>
                <w:rStyle w:val="s0"/>
              </w:rPr>
              <w:t xml:space="preserve"> биологического действия медицинского изделия, проведенных в целях доказательства его соответствия общим требованиям безопасности и эффективности медицинских изделий, требованиям к их маркировке и эксплуатационной до</w:t>
            </w:r>
            <w:r>
              <w:rPr>
                <w:rStyle w:val="s0"/>
              </w:rPr>
              <w:t>кументации на них  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1503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подтверждающий результаты испытаний медицинских изделий в целях утверждения типа средств измерений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1504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программа технических испытаний медицинского изделия, проведенных в целях доказательства его соответствия общим требованиям безопасности и эффективности медицинских изделий, требованиям к их маркировке и эксплуатационной документации на них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1505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</w:t>
            </w:r>
            <w:r>
              <w:t>ументы, содержащие доказательства первой стороны</w:t>
            </w:r>
          </w:p>
          <w:p w:rsidR="00000000" w:rsidRDefault="001A03B3">
            <w:pPr>
              <w:pStyle w:val="p"/>
              <w:spacing w:line="276" w:lineRule="auto"/>
            </w:pPr>
            <w:r>
              <w:t>(в части технических испытаний медицинского изделия)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1506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программа исследований (испытаний) по оценке биологического действия медицинского изделия, проведенных</w:t>
            </w:r>
          </w:p>
          <w:p w:rsidR="00000000" w:rsidRDefault="001A03B3">
            <w:pPr>
              <w:pStyle w:val="p"/>
              <w:spacing w:line="276" w:lineRule="auto"/>
            </w:pPr>
            <w:r>
              <w:t>в целях доказательства его соответствия общим требованиям безопасности и эффективности медицинских изделий, требованиям к их маркировке и эксплуатационной документации на них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16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t>Документы и сведения об изменениях, вносимых в регистрационное досье ме</w:t>
            </w:r>
            <w:r>
              <w:t>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1601 - 1605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ji"/>
            </w:pPr>
            <w:r>
              <w:rPr>
                <w:rStyle w:val="s0"/>
              </w:rPr>
              <w:t xml:space="preserve">Исключена в соответствии с </w:t>
            </w:r>
            <w:hyperlink r:id="rId19" w:history="1">
              <w:r>
                <w:rPr>
                  <w:rStyle w:val="a4"/>
                </w:rPr>
                <w:t>Решением</w:t>
              </w:r>
            </w:hyperlink>
            <w:r>
              <w:rPr>
                <w:rStyle w:val="s0"/>
              </w:rPr>
              <w:t xml:space="preserve"> Коллегии Евразийской экономической Комиссии от 15.08.23 г. № 110 </w:t>
            </w:r>
            <w:r>
              <w:rPr>
                <w:rStyle w:val="s3"/>
              </w:rPr>
              <w:t>(вступило в силу с 16 сентября 2023 г.) (</w:t>
            </w:r>
            <w:hyperlink r:id="rId20" w:anchor="sub_id=1" w:history="1">
              <w:r>
                <w:rPr>
                  <w:rStyle w:val="a4"/>
                  <w:i/>
                  <w:iCs/>
                </w:rPr>
                <w:t>см. стар. ред.</w:t>
              </w:r>
            </w:hyperlink>
            <w:r>
              <w:rPr>
                <w:rStyle w:val="s3"/>
              </w:rPr>
              <w:t>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1606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 и сведения об изменениях, вносимых в регистрационное досье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1607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подтверждающие изменения и свидетель</w:t>
            </w:r>
            <w:r>
              <w:t>ствующие о том, что внесение этих изменений не влечет за собой изменения свойств и характеристик медицинского изделия, влияющих на его безопасность, качество и эффективность, или совершенствует его свойства и характеристики при неизменности функционального</w:t>
            </w:r>
            <w:r>
              <w:t xml:space="preserve"> назначения и (или) принципа действия медицинского изделия</w:t>
            </w:r>
          </w:p>
        </w:tc>
      </w:tr>
      <w:tr w:rsidR="00000000">
        <w:tc>
          <w:tcPr>
            <w:tcW w:w="50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17</w:t>
            </w:r>
          </w:p>
        </w:tc>
        <w:tc>
          <w:tcPr>
            <w:tcW w:w="44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Прочие документы и сведения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 о соответствии медицинского изделия общим требованиям безопасности и эффективности медицинских изделий, требованиям к их маркировке и эксплуатационной документации на них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подтверждающий биологическую безопасность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сведения о специальном программном обеспечении, включая информацию производителя о валидации программного обеспечения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содержащий сведения о лекарстве</w:t>
            </w:r>
            <w:r>
              <w:rPr>
                <w:rStyle w:val="s0"/>
              </w:rPr>
              <w:t>нных средствах в составе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1705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содержащий информацию о разработке и производстве медицинского изделия, включая описание схемы процессов производства, основных стадий производства, упаковки, испытаний и процедуры выпуска конечного продукта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1706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содержащий инфор</w:t>
            </w:r>
            <w:r>
              <w:rPr>
                <w:rStyle w:val="s0"/>
              </w:rPr>
              <w:t xml:space="preserve">мацию о производителе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1707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содержащий информацию о маркетинге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1708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описание подхода к рассмотрению нежелательных событий и (или) несчастных случаев, связанных с применением медицинского изделия, и действий, предпринятых производителем в ответ на указанные события и (или) случаи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1708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описание анализа и (или) коррект</w:t>
            </w:r>
            <w:r>
              <w:rPr>
                <w:rStyle w:val="s0"/>
              </w:rPr>
              <w:t>ирующих действий, предпринятых в отношении нежелательных событий и (или) несчастных случаев, связанных с применением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1709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документ, устанавливающий требования к техническим характеристикам медицинского изделия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t>1710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t>сведения о процедуре стерилизации, включая информацию о валидации процесса стерилизации, результаты тестирования медицинского изделия на содержание микроорганизмов (степень биологической нагрузки), пирогенность, стерильность (при необходимости) (с указание</w:t>
            </w:r>
            <w:r>
              <w:t xml:space="preserve">м методов проведения испытаний и информации о валидации упаковки)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1711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ссылки на которые имеются в сведениях</w:t>
            </w:r>
          </w:p>
          <w:p w:rsidR="00000000" w:rsidRDefault="001A03B3">
            <w:pPr>
              <w:pStyle w:val="p"/>
              <w:spacing w:line="276" w:lineRule="auto"/>
            </w:pPr>
            <w:r>
              <w:t>о соответствии медицинского изделия общим требованиям безопасности и эффективности медицинских изделий, требованиям к их маркиро</w:t>
            </w:r>
            <w:r>
              <w:t>вке и эксплуатационной документации на них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1712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подтверждающие качество лекарственного средства, биологического материала и иных веществ, которые входят</w:t>
            </w:r>
          </w:p>
          <w:p w:rsidR="00000000" w:rsidRDefault="001A03B3">
            <w:pPr>
              <w:pStyle w:val="p"/>
              <w:spacing w:line="276" w:lineRule="auto"/>
            </w:pPr>
            <w:r>
              <w:t>в состав медицинского изделия и контактируют с организмом человека в соответствии с назначением медицинского изделия,</w:t>
            </w:r>
          </w:p>
          <w:p w:rsidR="00000000" w:rsidRDefault="001A03B3">
            <w:pPr>
              <w:pStyle w:val="p"/>
              <w:spacing w:line="276" w:lineRule="auto"/>
            </w:pPr>
            <w:r>
              <w:t>а также предназначены для применения только с учетом назначения медицинского изделия, определенного производителем, и выданные в соответст</w:t>
            </w:r>
            <w:r>
              <w:t>вии</w:t>
            </w:r>
          </w:p>
          <w:p w:rsidR="00000000" w:rsidRDefault="001A03B3">
            <w:pPr>
              <w:pStyle w:val="p"/>
              <w:spacing w:line="276" w:lineRule="auto"/>
            </w:pPr>
            <w:r>
              <w:t>с законодательством страны происхождения лекарственного средства, биологического материала и иного вещества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1713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 производителя, подтверждающий его намерение отменить действие регистрационного удостоверения медицинского изделия (аннулиро</w:t>
            </w:r>
            <w:r>
              <w:t>вать его)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1714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 xml:space="preserve">опись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1799</w:t>
            </w:r>
          </w:p>
        </w:tc>
        <w:tc>
          <w:tcPr>
            <w:tcW w:w="36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другое</w:t>
            </w:r>
          </w:p>
        </w:tc>
      </w:tr>
      <w:tr w:rsidR="00000000"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t>18</w:t>
            </w:r>
          </w:p>
        </w:tc>
        <w:tc>
          <w:tcPr>
            <w:tcW w:w="4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 о регистрации юридических лиц либо физических лиц, зарегистрированных в качестве индивидуальных предпринимателей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1801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документ, подтверждающий регистрацию уполномоченного представителя производителя в качестве юридического лица либо индивидуального предпринимателя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1802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 либо сведения, подтверждающие регистрацию производителя в качестве юридического лица либ</w:t>
            </w:r>
            <w:r>
              <w:t>о индивидуального предпринимателя</w:t>
            </w:r>
          </w:p>
        </w:tc>
      </w:tr>
      <w:tr w:rsidR="00000000">
        <w:tc>
          <w:tcPr>
            <w:tcW w:w="450" w:type="pct"/>
            <w:vMerge w:val="restar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t>19</w:t>
            </w:r>
          </w:p>
        </w:tc>
        <w:tc>
          <w:tcPr>
            <w:tcW w:w="450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подтверждающие оплату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1901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подтверждающие оплату процедур регистрации и экспертизы в референтном государстве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1902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подтверждающие оплату процедуры внесения изменений в регистрационное досье медицинского изделия в референтном государстве и процедуры согласования экспертного заключения в государстве (государствах) признания, а также выдачи регистрационного удо</w:t>
            </w:r>
            <w:r>
              <w:t>стоверения медицинского изделия в референтном государстве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1903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документы, подтверждающие оплату процедуры внесения изменений в регистрационное досье медицинского изделия в уведомительном порядке в референтном государстве, а также выдачи регистрационного удостоверения медицинского изделия в референтном государстве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1904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 xml:space="preserve">документы об оплате выдачи нового регистрационного удостоверения медицинского изделия в референтом государстве </w:t>
            </w:r>
          </w:p>
        </w:tc>
      </w:tr>
      <w:tr w:rsidR="00000000">
        <w:tc>
          <w:tcPr>
            <w:tcW w:w="0" w:type="auto"/>
            <w:vMerge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vAlign w:val="center"/>
            <w:hideMark/>
          </w:tcPr>
          <w:p w:rsidR="00000000" w:rsidRDefault="001A03B3">
            <w:pPr>
              <w:rPr>
                <w:color w:val="000000"/>
              </w:rPr>
            </w:pPr>
          </w:p>
        </w:tc>
        <w:tc>
          <w:tcPr>
            <w:tcW w:w="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1905</w:t>
            </w:r>
          </w:p>
        </w:tc>
        <w:tc>
          <w:tcPr>
            <w:tcW w:w="36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76" w:lineRule="auto"/>
            </w:pPr>
            <w:r>
              <w:t>документы об оплате процедуры согласования экспертного заключения в государстве (государствах) признания, указанном в заявле</w:t>
            </w:r>
            <w:r>
              <w:t>нии о согласовании экспертного заключения на медицинское изделие</w:t>
            </w:r>
          </w:p>
        </w:tc>
      </w:tr>
      <w:tr w:rsidR="00000000">
        <w:tc>
          <w:tcPr>
            <w:tcW w:w="112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rPr>
                <w:rFonts w:eastAsia="Times New Roman"/>
                <w:sz w:val="1"/>
              </w:rPr>
            </w:pPr>
          </w:p>
        </w:tc>
        <w:tc>
          <w:tcPr>
            <w:tcW w:w="1800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rPr>
                <w:rFonts w:eastAsia="Times New Roman"/>
                <w:sz w:val="1"/>
              </w:rPr>
            </w:pPr>
          </w:p>
        </w:tc>
        <w:tc>
          <w:tcPr>
            <w:tcW w:w="1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rPr>
                <w:rFonts w:eastAsia="Times New Roman"/>
                <w:sz w:val="1"/>
              </w:rPr>
            </w:pPr>
          </w:p>
        </w:tc>
        <w:tc>
          <w:tcPr>
            <w:tcW w:w="8265" w:type="dxa"/>
            <w:tcBorders>
              <w:top w:val="nil"/>
              <w:left w:val="nil"/>
              <w:bottom w:val="nil"/>
              <w:right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rPr>
                <w:rFonts w:eastAsia="Times New Roman"/>
                <w:sz w:val="1"/>
              </w:rPr>
            </w:pPr>
          </w:p>
        </w:tc>
      </w:tr>
    </w:tbl>
    <w:p w:rsidR="00000000" w:rsidRDefault="001A03B3">
      <w:pPr>
        <w:pStyle w:val="pc"/>
      </w:pPr>
      <w:r>
        <w:rPr>
          <w:rStyle w:val="s0"/>
        </w:rPr>
        <w:t> </w:t>
      </w:r>
    </w:p>
    <w:p w:rsidR="00000000" w:rsidRDefault="001A03B3">
      <w:pPr>
        <w:pStyle w:val="pc"/>
      </w:pPr>
      <w:r>
        <w:t> </w:t>
      </w:r>
    </w:p>
    <w:p w:rsidR="00000000" w:rsidRDefault="001A03B3">
      <w:pPr>
        <w:pStyle w:val="pc"/>
      </w:pPr>
      <w:r>
        <w:rPr>
          <w:rStyle w:val="s0"/>
        </w:rPr>
        <w:t>II. Паспорт классификатора</w:t>
      </w:r>
    </w:p>
    <w:p w:rsidR="00000000" w:rsidRDefault="001A03B3">
      <w:pPr>
        <w:pStyle w:val="pc"/>
      </w:pPr>
      <w:r>
        <w:rPr>
          <w:rStyle w:val="s0"/>
        </w:rPr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40"/>
        <w:gridCol w:w="3645"/>
        <w:gridCol w:w="5386"/>
      </w:tblGrid>
      <w:tr w:rsidR="00000000">
        <w:tc>
          <w:tcPr>
            <w:tcW w:w="250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№ п/п</w:t>
            </w:r>
          </w:p>
        </w:tc>
        <w:tc>
          <w:tcPr>
            <w:tcW w:w="19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Обозначение элемента</w:t>
            </w:r>
          </w:p>
        </w:tc>
        <w:tc>
          <w:tcPr>
            <w:tcW w:w="28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Описание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3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Код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0__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Тип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2 - классификатор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3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Наименование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классификатор видов документов регистрационного досье медицинского изделия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4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Аббревиатура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КВДРДМИ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5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Обозначение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j"/>
              <w:ind w:firstLine="0"/>
            </w:pPr>
            <w:r>
              <w:t>ЕК 048 – 2023 (ред. 2)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6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Реквизиты акта о принятии (утверждении) справочника (классификатора)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hyperlink w:anchor="sub0" w:history="1">
              <w:r>
                <w:rPr>
                  <w:rStyle w:val="a4"/>
                </w:rPr>
                <w:t>Решение</w:t>
              </w:r>
            </w:hyperlink>
            <w:r>
              <w:rPr>
                <w:rStyle w:val="s0"/>
              </w:rPr>
              <w:t xml:space="preserve"> Коллегии Евразийской экономической комиссии от 3 апреля 2018 г. № 48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7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Дата введения в действие (начала применения) справочника (классификатора)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                                20     г.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8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Реквизиты акта о прекращении применения справочника (классификатора)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-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9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Дата окончания применения справочника (классификатора)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-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10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Оператор (операторы)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RU, Федеральная служба по надзору в сфере здравоохранения 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11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Назначение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предназначен для представления сведений </w:t>
            </w:r>
            <w:r>
              <w:rPr>
                <w:rStyle w:val="s0"/>
              </w:rPr>
              <w:br/>
              <w:t>о видах документов регистрационного досье медицинского изделия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12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Аннотация </w:t>
            </w:r>
            <w:r>
              <w:rPr>
                <w:rStyle w:val="s0"/>
              </w:rPr>
              <w:br/>
              <w:t>(область применения)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 xml:space="preserve">используется при выполнении процедур, связанных с регистрацией медицинских изделий, в том числе для обеспечения информационного взаимодействия при реализации общих процессов в рамках Евразийского экономического союза 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13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Ключевые слова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документ реги</w:t>
            </w:r>
            <w:r>
              <w:rPr>
                <w:rStyle w:val="s0"/>
              </w:rPr>
              <w:t>страционного досье, регистрация медицинского изделия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14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Сфера, в которой реализуются полномочия органов Евразийского экономического союза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техническое регулирование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15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Использование международной (межгосударственной, региональной) классификации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2 - при разработке классификатора международные (межгосударственные, региональные) классификаторы и (или) стандарты не применялись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16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Наличие государственных справочников (классификаторов) государств - членов Евразийского экономического союза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2 - классификатор не имеет аналогов в государствах - членах Евразийского экономического союза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17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Метод систематизации (классификации)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2 - иерархический, число ступеней (уровней) - 2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18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Методика ведения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1 - централизованная процедура ведения.</w:t>
            </w:r>
          </w:p>
          <w:p w:rsidR="00000000" w:rsidRDefault="001A03B3">
            <w:pPr>
              <w:pStyle w:val="p"/>
            </w:pPr>
            <w:r>
              <w:rPr>
                <w:rStyle w:val="s0"/>
              </w:rPr>
              <w:t>Добавление, изменение или исключение значений классификатора выполняется оператором в соответствии с актом Евразийской экономической комиссии. В случае исключения значения запись классификатора отмечается как недействующая с даты исключения с указанием акт</w:t>
            </w:r>
            <w:r>
              <w:rPr>
                <w:rStyle w:val="s0"/>
              </w:rPr>
              <w:t>а Евразийской экономической комиссии, регламентирующего окончание действия записи классификатора. Коды записей классификатора являются уникальными, повторное использование кодов записей классификатора, в том числе недействующих, не допускается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19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Стр</w:t>
            </w:r>
            <w:r>
              <w:rPr>
                <w:rStyle w:val="s0"/>
              </w:rPr>
              <w:t>уктура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информация о структуре классификатора (состав полей классификатора, области их значений и правила формирования) указана в разделе III настоящего классификатора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20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Степень конфиденциальности данных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сведения из классификатора относятся к инфор</w:t>
            </w:r>
            <w:r>
              <w:rPr>
                <w:rStyle w:val="s0"/>
              </w:rPr>
              <w:t>мации открытого доступа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21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Установленная периодичность пересмотра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не установлена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22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Изменения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-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23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Ссылка на детализированные сведения из справочника (классификатора)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детализированные сведения из классификатора указаны в разделе I настоящего классификатора</w:t>
            </w:r>
          </w:p>
        </w:tc>
      </w:tr>
      <w:tr w:rsidR="00000000">
        <w:tc>
          <w:tcPr>
            <w:tcW w:w="250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</w:pPr>
            <w:r>
              <w:rPr>
                <w:rStyle w:val="s0"/>
              </w:rPr>
              <w:t>24</w:t>
            </w:r>
          </w:p>
        </w:tc>
        <w:tc>
          <w:tcPr>
            <w:tcW w:w="19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Способ представления сведений из справочника (классификатора)</w:t>
            </w:r>
          </w:p>
        </w:tc>
        <w:tc>
          <w:tcPr>
            <w:tcW w:w="28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опубликование на информационном портале Евразийского экономического союза</w:t>
            </w:r>
          </w:p>
        </w:tc>
      </w:tr>
    </w:tbl>
    <w:p w:rsidR="00000000" w:rsidRDefault="001A03B3">
      <w:pPr>
        <w:pStyle w:val="pc"/>
      </w:pPr>
      <w:r>
        <w:rPr>
          <w:rStyle w:val="s0"/>
        </w:rPr>
        <w:t> </w:t>
      </w:r>
    </w:p>
    <w:p w:rsidR="00000000" w:rsidRDefault="001A03B3">
      <w:pPr>
        <w:pStyle w:val="pc"/>
      </w:pPr>
      <w:r>
        <w:rPr>
          <w:rStyle w:val="s0"/>
        </w:rPr>
        <w:t>III. Описание стру</w:t>
      </w:r>
      <w:r>
        <w:rPr>
          <w:rStyle w:val="s0"/>
        </w:rPr>
        <w:t>ктуры классификатора</w:t>
      </w:r>
    </w:p>
    <w:p w:rsidR="00000000" w:rsidRDefault="001A03B3">
      <w:pPr>
        <w:pStyle w:val="pc"/>
      </w:pPr>
      <w:r>
        <w:rPr>
          <w:rStyle w:val="s0"/>
        </w:rPr>
        <w:t> </w:t>
      </w:r>
    </w:p>
    <w:p w:rsidR="00000000" w:rsidRDefault="001A03B3">
      <w:pPr>
        <w:pStyle w:val="pj"/>
      </w:pPr>
      <w:r>
        <w:rPr>
          <w:rStyle w:val="s0"/>
        </w:rPr>
        <w:t>1. Настоящий раздел устанавливает требования к структуре настоящего классификатора, в том числе определяет реквизитный состав и структуру классификатора, области значений реквизитов и правила их формирования.</w:t>
      </w:r>
    </w:p>
    <w:p w:rsidR="00000000" w:rsidRDefault="001A03B3">
      <w:pPr>
        <w:pStyle w:val="pj"/>
      </w:pPr>
      <w:r>
        <w:rPr>
          <w:rStyle w:val="s0"/>
        </w:rPr>
        <w:t xml:space="preserve">2. Реквизитный состав и </w:t>
      </w:r>
      <w:r>
        <w:rPr>
          <w:rStyle w:val="s0"/>
        </w:rPr>
        <w:t>структура настоящего классификатора приведены в таблице, в которой формируются следующие поля (графы):</w:t>
      </w:r>
    </w:p>
    <w:p w:rsidR="00000000" w:rsidRDefault="001A03B3">
      <w:pPr>
        <w:pStyle w:val="pj"/>
      </w:pPr>
      <w:r>
        <w:rPr>
          <w:rStyle w:val="s0"/>
        </w:rPr>
        <w:t>«Область значения реквизита» - текст, поясняющий смысл (семантику) элемента;</w:t>
      </w:r>
    </w:p>
    <w:p w:rsidR="00000000" w:rsidRDefault="001A03B3">
      <w:pPr>
        <w:pStyle w:val="pj"/>
      </w:pPr>
      <w:r>
        <w:rPr>
          <w:rStyle w:val="s0"/>
        </w:rPr>
        <w:t>«Правила формирования значения реквизита» - текст, уточняющий назначение рек</w:t>
      </w:r>
      <w:r>
        <w:rPr>
          <w:rStyle w:val="s0"/>
        </w:rPr>
        <w:t>визита и определяющий правила его формирования (заполнения), или словесное описание возможных значений реквизита;</w:t>
      </w:r>
    </w:p>
    <w:p w:rsidR="00000000" w:rsidRDefault="001A03B3">
      <w:pPr>
        <w:pStyle w:val="pj"/>
      </w:pPr>
      <w:r>
        <w:rPr>
          <w:rStyle w:val="s0"/>
        </w:rPr>
        <w:t>«Мн.»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множественность реквизита (обязательность (опциональность) и количество возможных повторений реквизита).</w:t>
      </w:r>
    </w:p>
    <w:p w:rsidR="00000000" w:rsidRDefault="001A03B3">
      <w:pPr>
        <w:pStyle w:val="pj"/>
      </w:pPr>
      <w:r>
        <w:rPr>
          <w:rStyle w:val="s0"/>
        </w:rPr>
        <w:t>Для указания множественности реквизитов передаваемых данных используются следующие обозначения:</w:t>
      </w:r>
    </w:p>
    <w:p w:rsidR="00000000" w:rsidRDefault="001A03B3">
      <w:pPr>
        <w:pStyle w:val="pj"/>
      </w:pPr>
      <w:r>
        <w:rPr>
          <w:rStyle w:val="s0"/>
        </w:rPr>
        <w:t>1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повторения не допускаются;</w:t>
      </w:r>
    </w:p>
    <w:p w:rsidR="00000000" w:rsidRDefault="001A03B3">
      <w:pPr>
        <w:pStyle w:val="pj"/>
      </w:pPr>
      <w:r>
        <w:rPr>
          <w:rStyle w:val="s0"/>
        </w:rPr>
        <w:t>n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должен повторяться n раз (n &gt; 1);</w:t>
      </w:r>
    </w:p>
    <w:p w:rsidR="00000000" w:rsidRDefault="001A03B3">
      <w:pPr>
        <w:pStyle w:val="pj"/>
      </w:pPr>
      <w:r>
        <w:rPr>
          <w:rStyle w:val="s0"/>
        </w:rPr>
        <w:t>1..*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может повторяться без</w:t>
      </w:r>
      <w:r>
        <w:rPr>
          <w:rStyle w:val="s0"/>
        </w:rPr>
        <w:t xml:space="preserve"> ограничений;</w:t>
      </w:r>
    </w:p>
    <w:p w:rsidR="00000000" w:rsidRDefault="001A03B3">
      <w:pPr>
        <w:pStyle w:val="pj"/>
      </w:pPr>
      <w:r>
        <w:rPr>
          <w:rStyle w:val="s0"/>
        </w:rPr>
        <w:t>n..*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обязателен, должен повторяться не менее n раз (n &gt; 1);</w:t>
      </w:r>
    </w:p>
    <w:p w:rsidR="00000000" w:rsidRDefault="001A03B3">
      <w:pPr>
        <w:pStyle w:val="pj"/>
      </w:pPr>
      <w:r>
        <w:rPr>
          <w:rStyle w:val="s0"/>
        </w:rPr>
        <w:t>n..m</w:t>
      </w:r>
      <w:r>
        <w:rPr>
          <w:rStyle w:val="s0"/>
        </w:rPr>
        <w:t> </w:t>
      </w:r>
      <w:r>
        <w:rPr>
          <w:rStyle w:val="s0"/>
        </w:rPr>
        <w:t>- реквизит обязателен, должен повторяться не менее n раз и не более m раз (n &gt; 1, m &gt; n);</w:t>
      </w:r>
    </w:p>
    <w:p w:rsidR="00000000" w:rsidRDefault="001A03B3">
      <w:pPr>
        <w:pStyle w:val="pj"/>
      </w:pPr>
      <w:r>
        <w:rPr>
          <w:rStyle w:val="s0"/>
        </w:rPr>
        <w:t>0..1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опционален, повторения не допускаются;</w:t>
      </w:r>
    </w:p>
    <w:p w:rsidR="00000000" w:rsidRDefault="001A03B3">
      <w:pPr>
        <w:pStyle w:val="pj"/>
      </w:pPr>
      <w:r>
        <w:rPr>
          <w:rStyle w:val="s0"/>
        </w:rPr>
        <w:t>0..*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опционален, может повторяться без ограничений;</w:t>
      </w:r>
    </w:p>
    <w:p w:rsidR="00000000" w:rsidRDefault="001A03B3">
      <w:pPr>
        <w:pStyle w:val="pj"/>
      </w:pPr>
      <w:r>
        <w:rPr>
          <w:rStyle w:val="s0"/>
        </w:rPr>
        <w:t>0..m</w:t>
      </w:r>
      <w:r>
        <w:rPr>
          <w:rStyle w:val="s0"/>
        </w:rPr>
        <w:t> </w:t>
      </w:r>
      <w:r>
        <w:rPr>
          <w:rStyle w:val="s0"/>
        </w:rPr>
        <w:t>-</w:t>
      </w:r>
      <w:r>
        <w:rPr>
          <w:rStyle w:val="s0"/>
        </w:rPr>
        <w:t> </w:t>
      </w:r>
      <w:r>
        <w:rPr>
          <w:rStyle w:val="s0"/>
        </w:rPr>
        <w:t>реквизит опционален, может повторяться не более m раз (m &gt; 1).</w:t>
      </w:r>
    </w:p>
    <w:p w:rsidR="00000000" w:rsidRDefault="001A03B3">
      <w:pPr>
        <w:pStyle w:val="pj"/>
      </w:pPr>
      <w:r>
        <w:rPr>
          <w:rStyle w:val="s0"/>
        </w:rPr>
        <w:t> </w:t>
      </w:r>
    </w:p>
    <w:p w:rsidR="00000000" w:rsidRDefault="001A03B3">
      <w:pPr>
        <w:pStyle w:val="pr"/>
      </w:pPr>
      <w:r>
        <w:rPr>
          <w:rStyle w:val="s0"/>
        </w:rPr>
        <w:t>Таблица</w:t>
      </w:r>
    </w:p>
    <w:p w:rsidR="00000000" w:rsidRDefault="001A03B3">
      <w:pPr>
        <w:pStyle w:val="pr"/>
      </w:pPr>
      <w:r>
        <w:rPr>
          <w:rStyle w:val="s0"/>
        </w:rPr>
        <w:t> </w:t>
      </w:r>
    </w:p>
    <w:p w:rsidR="00000000" w:rsidRDefault="001A03B3">
      <w:pPr>
        <w:pStyle w:val="pc"/>
      </w:pPr>
      <w:r>
        <w:rPr>
          <w:rStyle w:val="s0"/>
        </w:rPr>
        <w:t>Структура и реквизитный состав классификатора</w:t>
      </w:r>
    </w:p>
    <w:p w:rsidR="00000000" w:rsidRDefault="001A03B3">
      <w:pPr>
        <w:pStyle w:val="p"/>
      </w:pPr>
      <w:r>
        <w:rPr>
          <w:rStyle w:val="s0"/>
        </w:rPr>
        <w:t> </w:t>
      </w:r>
    </w:p>
    <w:tbl>
      <w:tblPr>
        <w:tblW w:w="1467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76"/>
        <w:gridCol w:w="276"/>
        <w:gridCol w:w="276"/>
        <w:gridCol w:w="276"/>
        <w:gridCol w:w="3416"/>
        <w:gridCol w:w="3718"/>
        <w:gridCol w:w="5814"/>
        <w:gridCol w:w="618"/>
      </w:tblGrid>
      <w:tr w:rsidR="00000000">
        <w:trPr>
          <w:cantSplit/>
          <w:trHeight w:val="20"/>
          <w:tblHeader/>
        </w:trPr>
        <w:tc>
          <w:tcPr>
            <w:tcW w:w="1400" w:type="pct"/>
            <w:gridSpan w:val="5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Наименование реквизита</w:t>
            </w:r>
          </w:p>
        </w:tc>
        <w:tc>
          <w:tcPr>
            <w:tcW w:w="13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Область значения реквизита</w:t>
            </w:r>
          </w:p>
        </w:tc>
        <w:tc>
          <w:tcPr>
            <w:tcW w:w="20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Правила формирования значения реквизита</w:t>
            </w:r>
          </w:p>
        </w:tc>
        <w:tc>
          <w:tcPr>
            <w:tcW w:w="20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Мн.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1400" w:type="pct"/>
            <w:gridSpan w:val="5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1. Сведения о видах документов регистрационного досье медицинского изделия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определяется областями значений вложенных реквизитов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определяется правилами формирования вложенных реквизитов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1..*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 </w:t>
            </w: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1.1. Код раздела классификатора видов документов регистрационного досье медицинского изделия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t>нормализованная строка символов.</w:t>
            </w:r>
          </w:p>
          <w:p w:rsidR="00000000" w:rsidRDefault="001A03B3">
            <w:pPr>
              <w:pStyle w:val="p"/>
              <w:spacing w:line="20" w:lineRule="atLeast"/>
            </w:pPr>
            <w:r>
              <w:t>Шаблон: \d{2}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кодовое обозначение формируется с использованием последовательного метода кодирования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 </w:t>
            </w: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1.2. Наименование раздела классификатора видов документов регистрационного досье медицинского изделия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t>строка символов.</w:t>
            </w:r>
          </w:p>
          <w:p w:rsidR="00000000" w:rsidRDefault="001A03B3">
            <w:pPr>
              <w:pStyle w:val="p"/>
            </w:pPr>
            <w:r>
              <w:t>Мин. длина: 1.</w:t>
            </w:r>
          </w:p>
          <w:p w:rsidR="00000000" w:rsidRDefault="001A03B3">
            <w:pPr>
              <w:pStyle w:val="p"/>
              <w:spacing w:line="20" w:lineRule="atLeast"/>
            </w:pPr>
            <w:r>
              <w:t>Макс. длина: 4000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формируется в виде словосочетания на русском языке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 </w:t>
            </w:r>
          </w:p>
        </w:tc>
        <w:tc>
          <w:tcPr>
            <w:tcW w:w="1300" w:type="pct"/>
            <w:gridSpan w:val="4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1.3. Сведения о виде документа регистрационного досье медицинского изделия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определяется областями значений вложенных реквизитов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определяется правилами формирования вложенных реквизитов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1..*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250" w:type="pct"/>
            <w:gridSpan w:val="3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1.3.1. Код вида документа регистрационного досье медицинского изделия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нормализованная строка символов.</w:t>
            </w:r>
          </w:p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Шаблон: \d{4}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кодовое обозначение формируется с использованием последовательного метода кодирования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1.3.2. Наименование вида документа регистрационного досье медицинского изделия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строка символов.</w:t>
            </w:r>
          </w:p>
          <w:p w:rsidR="00000000" w:rsidRDefault="001A03B3">
            <w:pPr>
              <w:pStyle w:val="p"/>
            </w:pPr>
            <w:r>
              <w:rPr>
                <w:rStyle w:val="s0"/>
              </w:rPr>
              <w:t>Мин. длина: 1.</w:t>
            </w:r>
          </w:p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Макс. длина: 4000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формируется в виде словосочетания на русском языке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250" w:type="pct"/>
            <w:gridSpan w:val="3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1.3.3. Сведения о записи справочника (классификатора)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определяется областями значений вложенных реквизитов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определяется правилами формирования вложенных реквизитов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150" w:type="pct"/>
            <w:gridSpan w:val="2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*.1. Дата начала действия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 xml:space="preserve">обозначение даты в соответствии с </w:t>
            </w:r>
            <w:hyperlink r:id="rId21" w:history="1">
              <w:r>
                <w:rPr>
                  <w:rStyle w:val="a4"/>
                </w:rPr>
                <w:t>ГОСТ ИСО 8601-2001</w:t>
              </w:r>
            </w:hyperlink>
            <w:r>
              <w:rPr>
                <w:rStyle w:val="s0"/>
              </w:rPr>
              <w:t xml:space="preserve"> в формате YYYY-MM-DD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соответствует дате начала действия, указанной в акте органа Евразийского экономического союза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*.2. Сведения об акте, регламентирующем начало действия записи справочника (классификатора)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определяется областями значений вложенных реквизитов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определяется правилами формирования вложенных реквизитов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*.2.1. Вид акта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нормализованная строка символов.</w:t>
            </w:r>
          </w:p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Шаблон: \d{5}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кодовое обозначение акта в соответствии с классификатором видов нормативных правовых актов международного права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*.2.2. Номер акта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строка символов.</w:t>
            </w:r>
          </w:p>
          <w:p w:rsidR="00000000" w:rsidRDefault="001A03B3">
            <w:pPr>
              <w:pStyle w:val="p"/>
            </w:pPr>
            <w:r>
              <w:rPr>
                <w:rStyle w:val="s0"/>
              </w:rPr>
              <w:t>Мин. длина: 1.</w:t>
            </w:r>
          </w:p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Макс. длина: 50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соответствует номеру акта органа Евразийского экономического союза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*.2.3. Дата акта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обозначение даты в соответствии с ГОСТ ИСО 8601-2001 в формате YYYY-MM-DD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соответствует дате принятия акта органа Евразийского экономического союза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*.3. Дата окончания действия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обозначение даты в соответствии с ГОСТ ИСО 8601-2001 в формате YYYY-MM-DD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соответствует дате окончания действия, указанной в акте органа Евразийского экономического союза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0..1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150" w:type="pct"/>
            <w:gridSpan w:val="2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*.4. Сведения об акте, регламентирующем окончание действия записи справочника (классификатора)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определяется областями значений вложенных реквизитов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определяется правилами формирования вложенных реквизитов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0..1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050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*.4.1. Вид акта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нормализованная строка символов.</w:t>
            </w:r>
          </w:p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Шаблон: \d{5}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кодовое обозначение акта в соответствии с классификатором видов нормативных правовых актов международного права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*.4.2. Номер акта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</w:pPr>
            <w:r>
              <w:rPr>
                <w:rStyle w:val="s0"/>
              </w:rPr>
              <w:t>строка символов.</w:t>
            </w:r>
          </w:p>
          <w:p w:rsidR="00000000" w:rsidRDefault="001A03B3">
            <w:pPr>
              <w:pStyle w:val="p"/>
            </w:pPr>
            <w:r>
              <w:rPr>
                <w:rStyle w:val="s0"/>
              </w:rPr>
              <w:t>Мин. длина: 1.</w:t>
            </w:r>
          </w:p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Макс. длина: 50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соответствует номеру акта органа Евразийского экономического союза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rPr>
                <w:rStyle w:val="s0"/>
              </w:rPr>
              <w:t>1</w:t>
            </w:r>
          </w:p>
        </w:tc>
      </w:tr>
      <w:tr w:rsidR="00000000">
        <w:trPr>
          <w:cantSplit/>
          <w:trHeight w:val="20"/>
          <w:tblHeader/>
        </w:trPr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rPr>
                <w:rStyle w:val="s0"/>
              </w:rPr>
              <w:t> </w:t>
            </w:r>
          </w:p>
        </w:tc>
        <w:tc>
          <w:tcPr>
            <w:tcW w:w="50" w:type="pct"/>
            <w:tcBorders>
              <w:top w:val="nil"/>
              <w:left w:val="nil"/>
              <w:bottom w:val="nil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 </w:t>
            </w:r>
          </w:p>
        </w:tc>
        <w:tc>
          <w:tcPr>
            <w:tcW w:w="105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*.4.3. Дата акта</w:t>
            </w:r>
          </w:p>
        </w:tc>
        <w:tc>
          <w:tcPr>
            <w:tcW w:w="13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обозначение даты в соответствии с ГОСТ ИСО 8601-2001 в формате YYYY-MM-DD</w:t>
            </w:r>
          </w:p>
        </w:tc>
        <w:tc>
          <w:tcPr>
            <w:tcW w:w="20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"/>
              <w:spacing w:line="20" w:lineRule="atLeast"/>
            </w:pPr>
            <w:r>
              <w:t>соответствует дате принятия акта органа Евразийского экономического союза</w:t>
            </w:r>
          </w:p>
        </w:tc>
        <w:tc>
          <w:tcPr>
            <w:tcW w:w="200" w:type="pct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:rsidR="00000000" w:rsidRDefault="001A03B3">
            <w:pPr>
              <w:pStyle w:val="pc"/>
              <w:spacing w:line="20" w:lineRule="atLeast"/>
            </w:pPr>
            <w:r>
              <w:t>1</w:t>
            </w:r>
          </w:p>
        </w:tc>
      </w:tr>
    </w:tbl>
    <w:p w:rsidR="00000000" w:rsidRDefault="001A03B3">
      <w:pPr>
        <w:pStyle w:val="p"/>
      </w:pPr>
      <w:r>
        <w:rPr>
          <w:rStyle w:val="s0"/>
        </w:rPr>
        <w:t> </w:t>
      </w:r>
    </w:p>
    <w:p w:rsidR="00000000" w:rsidRDefault="001A03B3">
      <w:pPr>
        <w:pStyle w:val="p"/>
      </w:pPr>
      <w:r>
        <w:rPr>
          <w:rStyle w:val="s0"/>
        </w:rPr>
        <w:t> </w:t>
      </w:r>
    </w:p>
    <w:p w:rsidR="00000000" w:rsidRDefault="001A03B3">
      <w:pPr>
        <w:pStyle w:val="p"/>
      </w:pPr>
      <w:r>
        <w:rPr>
          <w:rStyle w:val="s0"/>
        </w:rPr>
        <w:t> </w:t>
      </w:r>
    </w:p>
    <w:sectPr w:rsidR="00000000">
      <w:headerReference w:type="even" r:id="rId22"/>
      <w:headerReference w:type="default" r:id="rId23"/>
      <w:footerReference w:type="even" r:id="rId24"/>
      <w:footerReference w:type="default" r:id="rId25"/>
      <w:headerReference w:type="first" r:id="rId26"/>
      <w:footerReference w:type="first" r:id="rId2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03B3" w:rsidRDefault="001A03B3" w:rsidP="001A03B3">
      <w:r>
        <w:separator/>
      </w:r>
    </w:p>
  </w:endnote>
  <w:endnote w:type="continuationSeparator" w:id="0">
    <w:p w:rsidR="001A03B3" w:rsidRDefault="001A03B3" w:rsidP="001A03B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3B3" w:rsidRDefault="001A03B3">
    <w:pPr>
      <w:pStyle w:val="a8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3B3" w:rsidRDefault="001A03B3">
    <w:pPr>
      <w:pStyle w:val="a8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3B3" w:rsidRDefault="001A03B3">
    <w:pPr>
      <w:pStyle w:val="a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03B3" w:rsidRDefault="001A03B3" w:rsidP="001A03B3">
      <w:r>
        <w:separator/>
      </w:r>
    </w:p>
  </w:footnote>
  <w:footnote w:type="continuationSeparator" w:id="0">
    <w:p w:rsidR="001A03B3" w:rsidRDefault="001A03B3" w:rsidP="001A03B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3B3" w:rsidRDefault="001A03B3">
    <w:pPr>
      <w:pStyle w:val="a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3B3" w:rsidRDefault="001A03B3" w:rsidP="001A03B3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Источник: Информационная система "ПАРАГРАФ"</w:t>
    </w:r>
  </w:p>
  <w:p w:rsidR="001A03B3" w:rsidRDefault="001A03B3" w:rsidP="001A03B3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Документ: Решение Коллегии Евразийской экономической комиссии от 3 апреля 2018 года № 48 «О классификаторе видов документов регистрационного досье медицинского изделия» (г. Москва) (с изменениями и дополнениями от 16.09.2023 г.)</w:t>
    </w:r>
  </w:p>
  <w:p w:rsidR="001A03B3" w:rsidRPr="001A03B3" w:rsidRDefault="001A03B3" w:rsidP="001A03B3">
    <w:pPr>
      <w:pStyle w:val="a6"/>
      <w:spacing w:after="100"/>
      <w:jc w:val="right"/>
      <w:rPr>
        <w:rFonts w:ascii="Arial" w:hAnsi="Arial" w:cs="Arial"/>
        <w:color w:val="808080"/>
        <w:sz w:val="20"/>
      </w:rPr>
    </w:pPr>
    <w:r>
      <w:rPr>
        <w:rFonts w:ascii="Arial" w:hAnsi="Arial" w:cs="Arial"/>
        <w:color w:val="808080"/>
        <w:sz w:val="20"/>
      </w:rPr>
      <w:t>Статус документа: действующий. Дата: 06.05.2018 г.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A03B3" w:rsidRDefault="001A03B3">
    <w:pPr>
      <w:pStyle w:val="a6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view w:val="web"/>
  <w:zoom w:percent="100"/>
  <w:proofState w:spelling="clean" w:grammar="clean"/>
  <w:defaultTabStop w:val="708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compatSetting w:name="compatibilityMode" w:uri="http://schemas.microsoft.com/office/word" w:val="14"/>
  </w:compat>
  <w:rsids>
    <w:rsidRoot w:val="001A03B3"/>
    <w:rsid w:val="001A03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1A03B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A03B3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A03B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A03B3"/>
    <w:rPr>
      <w:rFonts w:eastAsiaTheme="minorEastAsia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Pr>
      <w:rFonts w:eastAsiaTheme="minorEastAsia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Pr>
      <w:color w:val="000000"/>
    </w:rPr>
  </w:style>
  <w:style w:type="paragraph" w:customStyle="1" w:styleId="pc">
    <w:name w:val="pc"/>
    <w:basedOn w:val="a"/>
    <w:pPr>
      <w:jc w:val="center"/>
    </w:pPr>
    <w:rPr>
      <w:color w:val="000000"/>
    </w:rPr>
  </w:style>
  <w:style w:type="paragraph" w:customStyle="1" w:styleId="pr">
    <w:name w:val="pr"/>
    <w:basedOn w:val="a"/>
    <w:pPr>
      <w:jc w:val="right"/>
    </w:pPr>
    <w:rPr>
      <w:color w:val="000000"/>
    </w:rPr>
  </w:style>
  <w:style w:type="paragraph" w:customStyle="1" w:styleId="pj">
    <w:name w:val="pj"/>
    <w:basedOn w:val="a"/>
    <w:pPr>
      <w:ind w:firstLine="400"/>
      <w:jc w:val="both"/>
    </w:pPr>
    <w:rPr>
      <w:color w:val="000000"/>
    </w:rPr>
  </w:style>
  <w:style w:type="paragraph" w:customStyle="1" w:styleId="pji">
    <w:name w:val="pji"/>
    <w:basedOn w:val="a"/>
    <w:pPr>
      <w:jc w:val="both"/>
    </w:pPr>
    <w:rPr>
      <w:color w:val="000000"/>
    </w:rPr>
  </w:style>
  <w:style w:type="paragraph" w:customStyle="1" w:styleId="msochpdefault">
    <w:name w:val="msochpdefault"/>
    <w:basedOn w:val="a"/>
    <w:rPr>
      <w:color w:val="000000"/>
      <w:sz w:val="20"/>
      <w:szCs w:val="20"/>
    </w:rPr>
  </w:style>
  <w:style w:type="character" w:customStyle="1" w:styleId="s0">
    <w:name w:val="s0"/>
    <w:basedOn w:val="a0"/>
    <w:rPr>
      <w:rFonts w:ascii="Times New Roman" w:hAnsi="Times New Roman" w:cs="Times New Roman" w:hint="default"/>
      <w:b w:val="0"/>
      <w:bCs w:val="0"/>
      <w:i w:val="0"/>
      <w:iCs w:val="0"/>
      <w:color w:val="000000"/>
    </w:rPr>
  </w:style>
  <w:style w:type="character" w:customStyle="1" w:styleId="s1">
    <w:name w:val="s1"/>
    <w:basedOn w:val="a0"/>
    <w:rPr>
      <w:rFonts w:ascii="Times New Roman" w:hAnsi="Times New Roman" w:cs="Times New Roman" w:hint="default"/>
      <w:b/>
      <w:bCs/>
      <w:color w:val="000000"/>
    </w:rPr>
  </w:style>
  <w:style w:type="character" w:customStyle="1" w:styleId="s2">
    <w:name w:val="s2"/>
    <w:basedOn w:val="a0"/>
    <w:rPr>
      <w:rFonts w:ascii="Times New Roman" w:hAnsi="Times New Roman" w:cs="Times New Roman" w:hint="default"/>
      <w:color w:val="333399"/>
      <w:u w:val="single"/>
    </w:rPr>
  </w:style>
  <w:style w:type="character" w:customStyle="1" w:styleId="s3">
    <w:name w:val="s3"/>
    <w:basedOn w:val="a0"/>
    <w:rPr>
      <w:rFonts w:ascii="Times New Roman" w:hAnsi="Times New Roman" w:cs="Times New Roman" w:hint="default"/>
      <w:b w:val="0"/>
      <w:bCs w:val="0"/>
      <w:i/>
      <w:iCs/>
      <w:color w:val="FF0000"/>
    </w:rPr>
  </w:style>
  <w:style w:type="character" w:customStyle="1" w:styleId="s9">
    <w:name w:val="s9"/>
    <w:basedOn w:val="a0"/>
    <w:rPr>
      <w:rFonts w:ascii="Times New Roman" w:hAnsi="Times New Roman" w:cs="Times New Roman" w:hint="default"/>
      <w:b w:val="0"/>
      <w:bCs w:val="0"/>
      <w:i/>
      <w:iCs/>
      <w:color w:val="333399"/>
      <w:u w:val="single"/>
    </w:rPr>
  </w:style>
  <w:style w:type="character" w:styleId="a4">
    <w:name w:val="Hyperlink"/>
    <w:basedOn w:val="a0"/>
    <w:uiPriority w:val="99"/>
    <w:semiHidden/>
    <w:unhideWhenUsed/>
    <w:rPr>
      <w:color w:val="0000FF"/>
      <w:u w:val="single"/>
    </w:rPr>
  </w:style>
  <w:style w:type="character" w:styleId="a5">
    <w:name w:val="FollowedHyperlink"/>
    <w:basedOn w:val="a0"/>
    <w:uiPriority w:val="99"/>
    <w:semiHidden/>
    <w:unhideWhenUsed/>
    <w:rPr>
      <w:color w:val="800080"/>
      <w:u w:val="single"/>
    </w:rPr>
  </w:style>
  <w:style w:type="paragraph" w:customStyle="1" w:styleId="p">
    <w:name w:val="p"/>
    <w:basedOn w:val="a"/>
    <w:rPr>
      <w:color w:val="000000"/>
    </w:rPr>
  </w:style>
  <w:style w:type="paragraph" w:styleId="a6">
    <w:name w:val="header"/>
    <w:basedOn w:val="a"/>
    <w:link w:val="a7"/>
    <w:uiPriority w:val="99"/>
    <w:unhideWhenUsed/>
    <w:rsid w:val="001A03B3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1A03B3"/>
    <w:rPr>
      <w:rFonts w:eastAsiaTheme="minorEastAsia"/>
      <w:sz w:val="24"/>
      <w:szCs w:val="24"/>
    </w:rPr>
  </w:style>
  <w:style w:type="paragraph" w:styleId="a8">
    <w:name w:val="footer"/>
    <w:basedOn w:val="a"/>
    <w:link w:val="a9"/>
    <w:uiPriority w:val="99"/>
    <w:unhideWhenUsed/>
    <w:rsid w:val="001A03B3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1A03B3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online.zakon.kz/Document/?doc_id=31565247" TargetMode="External"/><Relationship Id="rId13" Type="http://schemas.openxmlformats.org/officeDocument/2006/relationships/hyperlink" Target="http://online.zakon.kz/Document/?doc_id=38385642" TargetMode="External"/><Relationship Id="rId18" Type="http://schemas.openxmlformats.org/officeDocument/2006/relationships/hyperlink" Target="http://online.zakon.kz/Document/?doc_id=38624464" TargetMode="External"/><Relationship Id="rId26" Type="http://schemas.openxmlformats.org/officeDocument/2006/relationships/header" Target="header3.xml"/><Relationship Id="rId3" Type="http://schemas.openxmlformats.org/officeDocument/2006/relationships/settings" Target="settings.xml"/><Relationship Id="rId21" Type="http://schemas.openxmlformats.org/officeDocument/2006/relationships/hyperlink" Target="http://online.zakon.kz/Document/?doc_id=30074959" TargetMode="External"/><Relationship Id="rId7" Type="http://schemas.openxmlformats.org/officeDocument/2006/relationships/hyperlink" Target="http://online.zakon.kz/Document/?doc_id=32545129" TargetMode="External"/><Relationship Id="rId12" Type="http://schemas.openxmlformats.org/officeDocument/2006/relationships/hyperlink" Target="http://online.zakon.kz/Document/?doc_id=32545129" TargetMode="External"/><Relationship Id="rId17" Type="http://schemas.openxmlformats.org/officeDocument/2006/relationships/hyperlink" Target="http://online.zakon.kz/Document/?doc_id=38385642" TargetMode="External"/><Relationship Id="rId25" Type="http://schemas.openxmlformats.org/officeDocument/2006/relationships/footer" Target="footer2.xml"/><Relationship Id="rId2" Type="http://schemas.microsoft.com/office/2007/relationships/stylesWithEffects" Target="stylesWithEffects.xml"/><Relationship Id="rId16" Type="http://schemas.openxmlformats.org/officeDocument/2006/relationships/hyperlink" Target="consultantplus://offline/ref=E1CDEE8571133724360A48392018C49BAB023EE444B12570368C3E0970A9AA65196D530A9D95C12CEFBB5DODD1&#1030;" TargetMode="External"/><Relationship Id="rId20" Type="http://schemas.openxmlformats.org/officeDocument/2006/relationships/hyperlink" Target="http://online.zakon.kz/Document/?doc_id=38624464" TargetMode="External"/><Relationship Id="rId29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11" Type="http://schemas.openxmlformats.org/officeDocument/2006/relationships/hyperlink" Target="http://online.zakon.kz/Document/?doc_id=32121110" TargetMode="External"/><Relationship Id="rId24" Type="http://schemas.openxmlformats.org/officeDocument/2006/relationships/footer" Target="footer1.xml"/><Relationship Id="rId5" Type="http://schemas.openxmlformats.org/officeDocument/2006/relationships/footnotes" Target="footnotes.xml"/><Relationship Id="rId15" Type="http://schemas.openxmlformats.org/officeDocument/2006/relationships/hyperlink" Target="http://online.zakon.kz/Document/?doc_id=31484995" TargetMode="External"/><Relationship Id="rId23" Type="http://schemas.openxmlformats.org/officeDocument/2006/relationships/header" Target="header2.xml"/><Relationship Id="rId28" Type="http://schemas.openxmlformats.org/officeDocument/2006/relationships/fontTable" Target="fontTable.xml"/><Relationship Id="rId10" Type="http://schemas.openxmlformats.org/officeDocument/2006/relationships/hyperlink" Target="http://online.zakon.kz/Document/?doc_id=31565804" TargetMode="External"/><Relationship Id="rId19" Type="http://schemas.openxmlformats.org/officeDocument/2006/relationships/hyperlink" Target="http://online.zakon.kz/Document/?doc_id=38385642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online.zakon.kz/Document/?doc_id=31565804" TargetMode="External"/><Relationship Id="rId14" Type="http://schemas.openxmlformats.org/officeDocument/2006/relationships/hyperlink" Target="http://online.zakon.kz/Document/?doc_id=38624464" TargetMode="External"/><Relationship Id="rId22" Type="http://schemas.openxmlformats.org/officeDocument/2006/relationships/header" Target="header1.xml"/><Relationship Id="rId27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3729</Words>
  <Characters>21256</Characters>
  <Application>Microsoft Office Word</Application>
  <DocSecurity>0</DocSecurity>
  <Lines>177</Lines>
  <Paragraphs>49</Paragraphs>
  <ScaleCrop>false</ScaleCrop>
  <Company/>
  <LinksUpToDate>false</LinksUpToDate>
  <CharactersWithSpaces>24936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Решение Коллегии Евразийской экономической комиссии от 3 апреля 2018 года № 48 «О классификаторе видов документов регистрационного досье медицинского изделия» (г. Москва) (с изменениями и дополнениями от 16.09.2023 г.) (©Paragraph 2023)</dc:title>
  <dc:subject/>
  <dc:creator>Сергей М</dc:creator>
  <cp:keywords/>
  <dc:description/>
  <cp:lastModifiedBy>Сергей М</cp:lastModifiedBy>
  <cp:revision>2</cp:revision>
  <dcterms:created xsi:type="dcterms:W3CDTF">2023-09-13T18:36:00Z</dcterms:created>
  <dcterms:modified xsi:type="dcterms:W3CDTF">2023-09-13T18:36:00Z</dcterms:modified>
</cp:coreProperties>
</file>