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c0fuhjast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Калории, КБЖУ и энергетический баланс: Фундаментальное руководство для систем персонализированного питания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современной диетологии управление метаболическим здоровьем базируется на фундаментальном законе сохранения энергии. Энергетический баланс — это динамическое равновесие между энергией, поступающей с макронутриентами, и совокупными энергозатратами организма. Понимание этого механизма является стратегическим инструментом не только для коррекции массы тела, но и для профилактики неинфекционных заболеваний, таких как диабет 2 типа и сердечно-сосудистые патологии. Хронический профицит калорий ведет к депонированию избытка в виде липидов, в то время как дефицит инициирует катаболические процессы и окисление внутренних резервов.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l7p4qflf8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Энергетический баланс: Термодинамика и физиологический контекст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Калория определяется как единица измерения тепловой энергии, выделяемой при окислении питательных веществ. В физиологическом контексте это «биологическое горение», обеспечивающее аденозинтрифосфатом (АТФ) все клеточные процессы.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Принцип энергетического баланса: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Изокалорийное состояние:</w:t>
      </w:r>
      <w:r w:rsidDel="00000000" w:rsidR="00000000" w:rsidRPr="00000000">
        <w:rPr>
          <w:rtl w:val="0"/>
        </w:rPr>
        <w:t xml:space="preserve"> Потребление соответствует расходу. Вес стабилен, метаболический гомеостаз сохранен.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Положительный баланс (Профицит):</w:t>
      </w:r>
      <w:r w:rsidDel="00000000" w:rsidR="00000000" w:rsidRPr="00000000">
        <w:rPr>
          <w:rtl w:val="0"/>
        </w:rPr>
        <w:t xml:space="preserve"> Энергия пищи превышает затраты. Организм аккумулирует триглицериды в жировых депо.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Отрицательный баланс (Дефицит):</w:t>
      </w:r>
      <w:r w:rsidDel="00000000" w:rsidR="00000000" w:rsidRPr="00000000">
        <w:rPr>
          <w:rtl w:val="0"/>
        </w:rPr>
        <w:t xml:space="preserve"> Расход превышает потребление. Организм переходит к мобилизации гликогена, жиров и, при длительном дефиците, структурных белков.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Точное определение индивидуальных потребностей является отправной точкой для построения любой диетологической стратегии.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yh7gdtj6z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Базальный метаболизм (BMR): Методология и формулы расчета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Базальный метаболизм (BMR) — это минимальный уровень энергозатрат, необходимый для поддержания витальных функций (клеточный синтез, работа ЦНС, кровообращение) в состоянии полного покоя. В клинической практике и современных IT-системах (например, </w:t>
      </w:r>
      <w:r w:rsidDel="00000000" w:rsidR="00000000" w:rsidRPr="00000000">
        <w:rPr>
          <w:i w:val="1"/>
          <w:iCs w:val="1"/>
          <w:rtl w:val="0"/>
        </w:rPr>
        <w:t xml:space="preserve">NutriGen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i w:val="1"/>
          <w:iCs w:val="1"/>
          <w:rtl w:val="0"/>
        </w:rPr>
        <w:t xml:space="preserve">FoodYou</w:t>
      </w:r>
      <w:r w:rsidDel="00000000" w:rsidR="00000000" w:rsidRPr="00000000">
        <w:rPr>
          <w:rtl w:val="0"/>
        </w:rPr>
        <w:t xml:space="preserve">) применяются стандартизированные расчетные методы.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Формула Миффлина-Сан Жеора (рекомендована для современной популяции):</w:t>
      </w:r>
      <w:r w:rsidDel="00000000" w:rsidR="00000000" w:rsidRPr="00000000">
        <w:rPr>
          <w:rtl w:val="0"/>
        </w:rPr>
        <w:t xml:space="preserve"> BMR = (10 \times \text{вес в кг}) + (6.25 \times \text{рост в см}) - (5 \times \text{возраст в годах}) + s, где s = +5 для мужчин и -161 для женщин.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Формула Харриса-Бенедикта: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Мужчины: BMR = 66.5 + (13.75 \times \text{вес в кг}) + (5.003 \times \text{рост в см}) - (6.755 \times \text{возраст в годах})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Женщины: BMR = 655.1 + (9.563 \times \text{вес в кг}) + (1.850 \times \text{рост в см}) - (4.676 \times \text{возраст в годах})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Сравнительный анализ:</w:t>
      </w:r>
      <w:r w:rsidDel="00000000" w:rsidR="00000000" w:rsidRPr="00000000">
        <w:rPr>
          <w:rtl w:val="0"/>
        </w:rPr>
        <w:t xml:space="preserve"> Формулы показывают высокую точность для лиц со средним индексом массы тела. Однако они могут недооценивать нужды атлетов с высокой долей мышечной массы (метаболически более активной) и переоценивать потребности лиц с клиническим ожирением. BMR служит лишь отправной точкой, требующей интеграции с уровнем физической активности.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unkoetv9j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Коэффициенты активности (PAL) и расчет суммарного расхода энергии (TDEE)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Суммарный суточный расход энергии (TDEE) формируется из BMR и уровня физической активности (PAL). Критически важным компонентом является термогенез внетренировочной активности (NEAT), который включает повседневные движения, не связанные со спортом.</w:t>
      </w:r>
    </w:p>
    <w:tbl>
      <w:tblPr>
        <w:tblStyle w:val="Table1"/>
        <w:tblW w:w="9025.511811023622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898.88597258676"/>
        <w:gridCol w:w="5032.744240303296"/>
        <w:gridCol w:w="2093.881598133567"/>
        <w:tblGridChange w:id="0">
          <w:tblGrid>
            <w:gridCol w:w="1898.88597258676"/>
            <w:gridCol w:w="5032.744240303296"/>
            <w:gridCol w:w="2093.88159813356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нагрузки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Характеристика активности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Коэффициент (PAL)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Сидячий образ жизни, отсутствие физических нагрузок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Низкий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Легкая активность или тренировки 1–3 раза в неделю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1.375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Интенсивная нагрузка 3–5 раз в неделю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Ежедневные тяжелые тренировки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1.725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Экстремальный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Профессиональный спорт, тяжелый физический труд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1.9 и выше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Аналитическая оценка:</w:t>
      </w:r>
      <w:r w:rsidDel="00000000" w:rsidR="00000000" w:rsidRPr="00000000">
        <w:rPr>
          <w:rtl w:val="0"/>
        </w:rPr>
        <w:t xml:space="preserve"> Субъективная переоценка PAL — одна из наиболее частых ошибок. Ошибка при выборе коэффициента (например, выбор 1.55 вместо реальных 1.2 при сидячей офисной работе) приводит к погрешности в 300–500 ккал в сутки, что полностью нивелирует планируемый дефицит.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o5n8ol4w0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Архитектура макронутриентов: Нормативы и «правило рычага»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оптимизации состава тела и поддержания метаболической гибкости недостаточно простого соблюдения калорийности. Ключевое значение имеет распределение белков, жиров и углеводов (БЖУ).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Энергетическая ценность:</w:t>
      </w:r>
      <w:r w:rsidDel="00000000" w:rsidR="00000000" w:rsidRPr="00000000">
        <w:rPr>
          <w:rtl w:val="0"/>
        </w:rPr>
        <w:t xml:space="preserve"> 1 г белков = 4 ккал, 1 г углеводов = 4 ккал, 1 г жиров = 9 ккал.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Нормативы потребления (на базе рекомендаций ВОЗ и клинических данных):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Белки:</w:t>
      </w:r>
      <w:r w:rsidDel="00000000" w:rsidR="00000000" w:rsidRPr="00000000">
        <w:rPr>
          <w:rtl w:val="0"/>
        </w:rPr>
        <w:t xml:space="preserve"> Фундаментальный строительный материал. Норма составляет от </w:t>
      </w:r>
      <w:r w:rsidDel="00000000" w:rsidR="00000000" w:rsidRPr="00000000">
        <w:rPr>
          <w:b w:val="1"/>
          <w:bCs w:val="1"/>
          <w:rtl w:val="0"/>
        </w:rPr>
        <w:t xml:space="preserve">0.8 г/кг</w:t>
      </w:r>
      <w:r w:rsidDel="00000000" w:rsidR="00000000" w:rsidRPr="00000000">
        <w:rPr>
          <w:rtl w:val="0"/>
        </w:rPr>
        <w:t xml:space="preserve"> массы тела и выше, масштабируясь в зависимости от интенсивности физических нагрузок и целей репарации тканей.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Жиры: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20–35%</w:t>
      </w:r>
      <w:r w:rsidDel="00000000" w:rsidR="00000000" w:rsidRPr="00000000">
        <w:rPr>
          <w:rtl w:val="0"/>
        </w:rPr>
        <w:t xml:space="preserve"> от общей калорийности. Необходимы для синтеза гормонов и усвоения витаминов A, D, E, K.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Углеводы: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45–65%</w:t>
      </w:r>
      <w:r w:rsidDel="00000000" w:rsidR="00000000" w:rsidRPr="00000000">
        <w:rPr>
          <w:rtl w:val="0"/>
        </w:rPr>
        <w:t xml:space="preserve"> от калорийности. Основной источник глюкозы для ЦНС и эритроцитов.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Анализ «правила рычага»:</w:t>
      </w:r>
      <w:r w:rsidDel="00000000" w:rsidR="00000000" w:rsidRPr="00000000">
        <w:rPr>
          <w:rtl w:val="0"/>
        </w:rPr>
        <w:t xml:space="preserve"> В рамках фиксированной калорийности макронутриенты находятся в реципрокной зависимости. При увеличении доли жиров процент углеводов должен пропорционально снижаться. Такое смещение переводит организм из глюкозозависимого состояния в режим повышенного окисления липидов, что используется в стратегиях управления метаболической гибкостью.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q602lrlnw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Качественные характеристики нутриентов: Биологическая ценность и типы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Нутритивная плотность продуктов определяет долгосрочные клинические исходы.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qe9je1rdj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Белки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Полноценные:</w:t>
      </w:r>
      <w:r w:rsidDel="00000000" w:rsidR="00000000" w:rsidRPr="00000000">
        <w:rPr>
          <w:rtl w:val="0"/>
        </w:rPr>
        <w:t xml:space="preserve"> Содержат все 9 незаменимых аминокислот. Основные источники: мясо, рыба, яйца, молочные продукты. Соя является единственным растительным источником, признанным полноценным белком.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Неполноценные:</w:t>
      </w:r>
      <w:r w:rsidDel="00000000" w:rsidR="00000000" w:rsidRPr="00000000">
        <w:rPr>
          <w:rtl w:val="0"/>
        </w:rPr>
        <w:t xml:space="preserve"> Растительные белки (крупы, бобовые), где лимитированы определенные аминокислоты. Создание полноценного профиля возможно через комбинирование (например, рис с фасолью).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Денатурация:</w:t>
      </w:r>
      <w:r w:rsidDel="00000000" w:rsidR="00000000" w:rsidRPr="00000000">
        <w:rPr>
          <w:rtl w:val="0"/>
        </w:rPr>
        <w:t xml:space="preserve"> Чрезмерная термическая обработка до состояния обугливания делает белок не подлежащим перевариванию и усвоению.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ybxw4wf07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Жиры (Липиды)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Ненасыщенные:</w:t>
      </w:r>
      <w:r w:rsidDel="00000000" w:rsidR="00000000" w:rsidRPr="00000000">
        <w:rPr>
          <w:rtl w:val="0"/>
        </w:rPr>
        <w:t xml:space="preserve"> Включают мононенасыщенные (оливковое масло, авокадо) и полиненасыщенные (Омега-3 и Омега-6) жирные кислоты. Оказывают антивоспалительный эффект.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Насыщенные:</w:t>
      </w:r>
      <w:r w:rsidDel="00000000" w:rsidR="00000000" w:rsidRPr="00000000">
        <w:rPr>
          <w:rtl w:val="0"/>
        </w:rPr>
        <w:t xml:space="preserve"> Содержатся в продуктах животного происхождения. Рекомендуется ограничение до &lt;10% от общей калорийности для снижения рисков сердечно-сосудистых заболеваний.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Трансжиры:</w:t>
      </w:r>
      <w:r w:rsidDel="00000000" w:rsidR="00000000" w:rsidRPr="00000000">
        <w:rPr>
          <w:rtl w:val="0"/>
        </w:rPr>
        <w:t xml:space="preserve"> Результат гидрогенизации растительных масел. Должны быть полностью исключены из рациона ввиду доказанного вреда для сосудов.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5zf05n837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Углеводы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Сложные (медленные):</w:t>
      </w:r>
      <w:r w:rsidDel="00000000" w:rsidR="00000000" w:rsidRPr="00000000">
        <w:rPr>
          <w:rtl w:val="0"/>
        </w:rPr>
        <w:t xml:space="preserve"> Крахмалы и клетчатка (цельное зерно, овощи). Обеспечивают стабильную гликемию.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Простые (быстрые):</w:t>
      </w:r>
      <w:r w:rsidDel="00000000" w:rsidR="00000000" w:rsidRPr="00000000">
        <w:rPr>
          <w:rtl w:val="0"/>
        </w:rPr>
        <w:t xml:space="preserve"> Сахара (глюкоза, сахароза). Вызывают резкие колебания уровня инсулина.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Клетчатка:</w:t>
      </w:r>
      <w:r w:rsidDel="00000000" w:rsidR="00000000" w:rsidRPr="00000000">
        <w:rPr>
          <w:rtl w:val="0"/>
        </w:rPr>
        <w:t xml:space="preserve"> Неперевариваемый компонент (норма для взрослых — </w:t>
      </w:r>
      <w:r w:rsidDel="00000000" w:rsidR="00000000" w:rsidRPr="00000000">
        <w:rPr>
          <w:b w:val="1"/>
          <w:bCs w:val="1"/>
          <w:rtl w:val="0"/>
        </w:rPr>
        <w:t xml:space="preserve">не менее 25 г/сутки</w:t>
      </w:r>
      <w:r w:rsidDel="00000000" w:rsidR="00000000" w:rsidRPr="00000000">
        <w:rPr>
          <w:rtl w:val="0"/>
        </w:rPr>
        <w:t xml:space="preserve">), критически важный для чувства насыщения и моторики ЖКТ.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Клиническая верификация:</w:t>
      </w:r>
      <w:r w:rsidDel="00000000" w:rsidR="00000000" w:rsidRPr="00000000">
        <w:rPr>
          <w:rtl w:val="0"/>
        </w:rPr>
        <w:t xml:space="preserve"> Доказательные модели, такие как </w:t>
      </w:r>
      <w:r w:rsidDel="00000000" w:rsidR="00000000" w:rsidRPr="00000000">
        <w:rPr>
          <w:b w:val="1"/>
          <w:bCs w:val="1"/>
          <w:rtl w:val="0"/>
        </w:rPr>
        <w:t xml:space="preserve">DASH</w:t>
      </w:r>
      <w:r w:rsidDel="00000000" w:rsidR="00000000" w:rsidRPr="00000000">
        <w:rPr>
          <w:rtl w:val="0"/>
        </w:rPr>
        <w:t xml:space="preserve">, ориентированы на высокое содержание калия, магния и кальция, что позволяет снизить систолическое давление уже через </w:t>
      </w:r>
      <w:r w:rsidDel="00000000" w:rsidR="00000000" w:rsidRPr="00000000">
        <w:rPr>
          <w:b w:val="1"/>
          <w:bCs w:val="1"/>
          <w:rtl w:val="0"/>
        </w:rPr>
        <w:t xml:space="preserve">14 дней</w:t>
      </w:r>
      <w:r w:rsidDel="00000000" w:rsidR="00000000" w:rsidRPr="00000000">
        <w:rPr>
          <w:rtl w:val="0"/>
        </w:rPr>
        <w:t xml:space="preserve"> и сократить риск диабета на </w:t>
      </w:r>
      <w:r w:rsidDel="00000000" w:rsidR="00000000" w:rsidRPr="00000000">
        <w:rPr>
          <w:b w:val="1"/>
          <w:bCs w:val="1"/>
          <w:rtl w:val="0"/>
        </w:rPr>
        <w:t xml:space="preserve">23%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Средиземноморская диета</w:t>
      </w:r>
      <w:r w:rsidDel="00000000" w:rsidR="00000000" w:rsidRPr="00000000">
        <w:rPr>
          <w:rtl w:val="0"/>
        </w:rPr>
        <w:t xml:space="preserve"> базируется на использовании оливкового масла Extra Virgin как основного жира, что минимизирует системное воспаление.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f7et6fdg8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Практика подсчета КБЖУ: Инструменты и источники данных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Точность планирования напрямую зависит от надежности используемых баз данных. Оценка порций «на глаз» ведет к погрешности в </w:t>
      </w:r>
      <w:r w:rsidDel="00000000" w:rsidR="00000000" w:rsidRPr="00000000">
        <w:rPr>
          <w:b w:val="1"/>
          <w:bCs w:val="1"/>
          <w:rtl w:val="0"/>
        </w:rPr>
        <w:t xml:space="preserve">20–50%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Золотые стандарты данных: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USDA FoodData Central: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Foundation Foods:</w:t>
      </w:r>
      <w:r w:rsidDel="00000000" w:rsidR="00000000" w:rsidRPr="00000000">
        <w:rPr>
          <w:rtl w:val="0"/>
        </w:rPr>
        <w:t xml:space="preserve"> Содержит глубокие аналитические данные о базовых продуктах, включая метаданные о месте сбора образцов, дате и методах химического анализа.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Branded Foods:</w:t>
      </w:r>
      <w:r w:rsidDel="00000000" w:rsidR="00000000" w:rsidRPr="00000000">
        <w:rPr>
          <w:rtl w:val="0"/>
        </w:rPr>
        <w:t xml:space="preserve"> Массив данных о коммерческих продуктах, обновляемый ежемесячно на основе информации от производителей.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Food Facts:</w:t>
      </w:r>
      <w:r w:rsidDel="00000000" w:rsidR="00000000" w:rsidRPr="00000000">
        <w:rPr>
          <w:rtl w:val="0"/>
        </w:rPr>
        <w:t xml:space="preserve"> Краудсорсинговая база, позволяющая автоматизировать ввод данных через сканирование штрих-кодов.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учета: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Взвешивание сырых продуктов:</w:t>
      </w:r>
      <w:r w:rsidDel="00000000" w:rsidR="00000000" w:rsidRPr="00000000">
        <w:rPr>
          <w:rtl w:val="0"/>
        </w:rPr>
        <w:t xml:space="preserve"> Расчет ведется по весу до приготовления, так как крупы и мясо меняют массу (за счет воды) в процессе обработки.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Использование ПО:</w:t>
      </w:r>
      <w:r w:rsidDel="00000000" w:rsidR="00000000" w:rsidRPr="00000000">
        <w:rPr>
          <w:rtl w:val="0"/>
        </w:rPr>
        <w:t xml:space="preserve"> Применение специализированных пакетов, таких как </w:t>
      </w:r>
      <w:r w:rsidDel="00000000" w:rsidR="00000000" w:rsidRPr="00000000">
        <w:rPr>
          <w:i w:val="1"/>
          <w:iCs w:val="1"/>
          <w:rtl w:val="0"/>
        </w:rPr>
        <w:t xml:space="preserve">NutriMetrics</w:t>
      </w:r>
      <w:r w:rsidDel="00000000" w:rsidR="00000000" w:rsidRPr="00000000">
        <w:rPr>
          <w:rtl w:val="0"/>
        </w:rPr>
        <w:t xml:space="preserve"> (анализ более 60 нутриентов) или систем на базе MILP-алгоритмов для автоматического планирования без дублирования источников.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7cttmneqe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Системный анализ ошибок при планировании рациона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при математически верном расчете прогресс может отсутствовать вследствие следующих факторов: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Игнорирование скрытых нутриентов:</w:t>
      </w:r>
      <w:r w:rsidDel="00000000" w:rsidR="00000000" w:rsidRPr="00000000">
        <w:rPr>
          <w:rtl w:val="0"/>
        </w:rPr>
        <w:t xml:space="preserve"> Соусы, масла для жарки и добавленный сахар в напитках могут добавлять до 500–700 ккал сверх плана.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Термическая деградация:</w:t>
      </w:r>
      <w:r w:rsidDel="00000000" w:rsidR="00000000" w:rsidRPr="00000000">
        <w:rPr>
          <w:rtl w:val="0"/>
        </w:rPr>
        <w:t xml:space="preserve"> Сильное обугливание мяса на гриле делает его протеины биологически недоступными.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Ошибки баз данных:</w:t>
      </w:r>
      <w:r w:rsidDel="00000000" w:rsidR="00000000" w:rsidRPr="00000000">
        <w:rPr>
          <w:rtl w:val="0"/>
        </w:rPr>
        <w:t xml:space="preserve"> Выбор некорректного профиля (например, выбор «курица» без учета наличия кожи) радикально искажает данные по насыщенным жирам.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Субъективность порций:</w:t>
      </w:r>
      <w:r w:rsidDel="00000000" w:rsidR="00000000" w:rsidRPr="00000000">
        <w:rPr>
          <w:rtl w:val="0"/>
        </w:rPr>
        <w:t xml:space="preserve"> Использование домашних мер объема («чашка», «ложка») вместо граммов ведет к накоплению критической ошибки.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Резюме:</w:t>
      </w:r>
      <w:r w:rsidDel="00000000" w:rsidR="00000000" w:rsidRPr="00000000">
        <w:rPr>
          <w:rtl w:val="0"/>
        </w:rPr>
        <w:t xml:space="preserve"> Системный подход к питанию требует синтеза количественных показателей (калорийность, БЖУ) с качественным выбором источников нутриентов. Использование верифицированных инструментов и понимание биохимических принципов усвоения пищи являются залогом долгосрочного поддержания здоровья и достижения целевого метаболического статуса.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