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q0ynhc2s95j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Типы диет и системы питания: Научно-обоснованный гид для базы знаний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ds4qtcd2djd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Введение: Роль макро- и микронутриентов в планировании питания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современной нутрициологии стратегическое понимание состава продуктов является фундаментом для персонализированного питания. Согласно стандартам Всемирной организации здравоохранения (ВОЗ) и концепции Daily Recommended Values (DRV), нутриенты делятся на две критические категории, определяющие метаболическое здоровье.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Макронутриенты</w:t>
      </w:r>
      <w:r w:rsidDel="00000000" w:rsidR="00000000" w:rsidRPr="00000000">
        <w:rPr>
          <w:rtl w:val="0"/>
        </w:rPr>
        <w:t xml:space="preserve"> — вещества, требуемые организму в больших количествах:</w:t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Углеводы (4 кал/г):</w:t>
      </w:r>
      <w:r w:rsidDel="00000000" w:rsidR="00000000" w:rsidRPr="00000000">
        <w:rPr>
          <w:rtl w:val="0"/>
        </w:rPr>
        <w:t xml:space="preserve"> Основное топливо для мозга, ЦНС и эритроцитов. Институт медицины (IOM) рекомендует обеспечивать ими 45–65% суточной калорийности. Подразделяются на простые (сахара) и сложные (крахмалы, клетчатка).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Белки (4 кал/г):</w:t>
      </w:r>
      <w:r w:rsidDel="00000000" w:rsidR="00000000" w:rsidRPr="00000000">
        <w:rPr>
          <w:rtl w:val="0"/>
        </w:rPr>
        <w:t xml:space="preserve"> Цепи аминокислот, необходимые для роста и восстановления тканей. Существует 22 аминокислоты, 9 из которых являются незаменимыми и должны поступать с пищей.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Липиды/Жиры (9 кал/г):</w:t>
      </w:r>
      <w:r w:rsidDel="00000000" w:rsidR="00000000" w:rsidRPr="00000000">
        <w:rPr>
          <w:rtl w:val="0"/>
        </w:rPr>
        <w:t xml:space="preserve"> Концентрированная энергия и структурный компонент клеток. Включают незаменимые жирные кислоты (EFAs) — Омега-3 (линоленовая) и Омега-6 (линолевая), которые организм не может синтезировать самостоятельно.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Микронутриенты</w:t>
      </w:r>
      <w:r w:rsidDel="00000000" w:rsidR="00000000" w:rsidRPr="00000000">
        <w:rPr>
          <w:rtl w:val="0"/>
        </w:rPr>
        <w:t xml:space="preserve"> — витамины и минералы, необходимые в малых дозах для синтеза ферментов и гормонов. Например, витамин B12 критически важен для создания «чертежей» ДНК и РНК. ВОЗ выделяет дефицит йода, витамина А и железа как глобальные угрозы развитию популяций.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Вода</w:t>
      </w:r>
      <w:r w:rsidDel="00000000" w:rsidR="00000000" w:rsidRPr="00000000">
        <w:rPr>
          <w:rtl w:val="0"/>
        </w:rPr>
        <w:t xml:space="preserve"> является важнейшим макронутриентом (более 70% массы тела). Согласно биохимическим принципам, она выполняет семь ключевых функций: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Пищеварение:</w:t>
      </w:r>
      <w:r w:rsidDel="00000000" w:rsidR="00000000" w:rsidRPr="00000000">
        <w:rPr>
          <w:rtl w:val="0"/>
        </w:rPr>
        <w:t xml:space="preserve"> Поддержание здорового веса.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Циркуляция:</w:t>
      </w:r>
      <w:r w:rsidDel="00000000" w:rsidR="00000000" w:rsidRPr="00000000">
        <w:rPr>
          <w:rtl w:val="0"/>
        </w:rPr>
        <w:t xml:space="preserve"> Капиллярное действие для транспорта кислорода и нутриентов.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Выведение отходов:</w:t>
      </w:r>
      <w:r w:rsidDel="00000000" w:rsidR="00000000" w:rsidRPr="00000000">
        <w:rPr>
          <w:rtl w:val="0"/>
        </w:rPr>
        <w:t xml:space="preserve"> Очистка клеток от продуктов распада.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Абсорбция:</w:t>
      </w:r>
      <w:r w:rsidDel="00000000" w:rsidR="00000000" w:rsidRPr="00000000">
        <w:rPr>
          <w:rtl w:val="0"/>
        </w:rPr>
        <w:t xml:space="preserve"> Перемещение питательных веществ.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Транспорт:</w:t>
      </w:r>
      <w:r w:rsidDel="00000000" w:rsidR="00000000" w:rsidRPr="00000000">
        <w:rPr>
          <w:rtl w:val="0"/>
        </w:rPr>
        <w:t xml:space="preserve"> Среда для водорастворимых витаминов.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Строение тканей:</w:t>
      </w:r>
      <w:r w:rsidDel="00000000" w:rsidR="00000000" w:rsidRPr="00000000">
        <w:rPr>
          <w:rtl w:val="0"/>
        </w:rPr>
        <w:t xml:space="preserve"> Поддержание тонуса и эластичности кожи.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Терморегуляция:</w:t>
      </w:r>
      <w:r w:rsidDel="00000000" w:rsidR="00000000" w:rsidRPr="00000000">
        <w:rPr>
          <w:rtl w:val="0"/>
        </w:rPr>
        <w:t xml:space="preserve"> Естественное охлаждение через потоотделение.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Различные системы питания используют эти компоненты в разных пропорциях для достижения терапевтических целей.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s81wlm6dqcz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Средиземноморская диета (Mediterranean Diet)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Средиземноморская диета признана «золотым стандартом» профилактики сердечно-сосудистых заболеваний. Исследования клиники Mayo подтверждают её эффективность в снижении уровня системного воспаления.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Принципы и стратегия «Планирования тарелки»: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1/2 тарелки:</w:t>
      </w:r>
      <w:r w:rsidDel="00000000" w:rsidR="00000000" w:rsidRPr="00000000">
        <w:rPr>
          <w:rtl w:val="0"/>
        </w:rPr>
        <w:t xml:space="preserve"> некрахмалистые овощи и фрукты.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1/4 тарелки:</w:t>
      </w:r>
      <w:r w:rsidDel="00000000" w:rsidR="00000000" w:rsidRPr="00000000">
        <w:rPr>
          <w:rtl w:val="0"/>
        </w:rPr>
        <w:t xml:space="preserve"> цельнозерновые продукты (овес, булгур, киноа).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1/4 тарелки:</w:t>
      </w:r>
      <w:r w:rsidDel="00000000" w:rsidR="00000000" w:rsidRPr="00000000">
        <w:rPr>
          <w:rtl w:val="0"/>
        </w:rPr>
        <w:t xml:space="preserve"> постный белок (рыба, бобовые).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Основной жир:</w:t>
      </w:r>
      <w:r w:rsidDel="00000000" w:rsidR="00000000" w:rsidRPr="00000000">
        <w:rPr>
          <w:rtl w:val="0"/>
        </w:rPr>
        <w:t xml:space="preserve"> Оливковое масло Extra Virgin.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Доказанная эффективность и экспертные советы:</w:t>
      </w:r>
      <w:r w:rsidDel="00000000" w:rsidR="00000000" w:rsidRPr="00000000">
        <w:rPr>
          <w:rtl w:val="0"/>
        </w:rPr>
        <w:t xml:space="preserve"> Диета достоверно снижает риск развития диабета 2 типа, деменции и некоторых видов рака (колоректальный, рак груди). Клинически подтверждена связь со снижением риска возрастной макулярной дегенерации (60+), ревматоидного артрита и эректильной дисфункции.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Экспертный совет по синергии:</w:t>
      </w:r>
      <w:r w:rsidDel="00000000" w:rsidR="00000000" w:rsidRPr="00000000">
        <w:rPr>
          <w:rtl w:val="0"/>
        </w:rPr>
        <w:t xml:space="preserve"> Сочетайте шпинат с лимоном (витамин С улучшает всасывание растительного железа).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Экспертный совет по биоактивности:</w:t>
      </w:r>
      <w:r w:rsidDel="00000000" w:rsidR="00000000" w:rsidRPr="00000000">
        <w:rPr>
          <w:rtl w:val="0"/>
        </w:rPr>
        <w:t xml:space="preserve"> Нарезайте чеснок за несколько минут до термической обработки, чтобы дать время сформироваться полезным растительным соединениям.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Минусом является высокая энергетическая плотность масел и орехов, требующая контроля калорий. Диета противопоказана в строгом виде при тяжелых заболеваниях почек без коррекции уровня калия.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qbqjozchtiq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Диета DASH (Dietary Approaches to Stop Hypertension)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Разработанная Национальными институтами здравоохранения (NIH) как клинический протокол, DASH нацелена на борьбу с гипертонией без медикаментов.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Механизм действия:</w:t>
      </w:r>
      <w:r w:rsidDel="00000000" w:rsidR="00000000" w:rsidRPr="00000000">
        <w:rPr>
          <w:rtl w:val="0"/>
        </w:rPr>
        <w:t xml:space="preserve"> Основной акцент делается на ограничение натрия (&lt;2300 мг, в идеале 1500 мг) и высокое содержание калия, кальция и магния. Эти минералы критически важны для регуляции переноса жидкости между клетками и здоровья мышечной ткани.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Анализ эффектов:</w:t>
      </w:r>
      <w:r w:rsidDel="00000000" w:rsidR="00000000" w:rsidRPr="00000000">
        <w:rPr>
          <w:rtl w:val="0"/>
        </w:rPr>
        <w:t xml:space="preserve"> «Эффект 14 дней» — научно доказанное снижение систолического давления в течение двух недель. Диета также эффективна для снижения инсулинорезистентности и профилактики образования камней в почках. </w:t>
      </w:r>
      <w:r w:rsidDel="00000000" w:rsidR="00000000" w:rsidRPr="00000000">
        <w:rPr>
          <w:b w:val="1"/>
          <w:bCs w:val="1"/>
          <w:rtl w:val="0"/>
        </w:rPr>
        <w:t xml:space="preserve">Целевая аудитория:</w:t>
      </w:r>
      <w:r w:rsidDel="00000000" w:rsidR="00000000" w:rsidRPr="00000000">
        <w:rPr>
          <w:rtl w:val="0"/>
        </w:rPr>
        <w:t xml:space="preserve"> Люди с гипертонией и метаболическим синдромом. </w:t>
      </w:r>
      <w:r w:rsidDel="00000000" w:rsidR="00000000" w:rsidRPr="00000000">
        <w:rPr>
          <w:b w:val="1"/>
          <w:bCs w:val="1"/>
          <w:rtl w:val="0"/>
        </w:rPr>
        <w:t xml:space="preserve">Противопоказания:</w:t>
      </w:r>
      <w:r w:rsidDel="00000000" w:rsidR="00000000" w:rsidRPr="00000000">
        <w:rPr>
          <w:rtl w:val="0"/>
        </w:rPr>
        <w:t xml:space="preserve"> Хроническая болезнь почек (ХБП) на поздних стадиях из-за высокой минеральной нагрузки.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afqtf1elunh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Кетогенная диета (Keto Diet)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Кетогенная диета — это стратегия радикального метаболического перепрограммирования, переводящая организм с использования глюкозы на сжигание жиров (состояние кетоза).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Принципы и биохимия жиров:</w:t>
      </w:r>
      <w:r w:rsidDel="00000000" w:rsidR="00000000" w:rsidRPr="00000000">
        <w:rPr>
          <w:rtl w:val="0"/>
        </w:rPr>
        <w:t xml:space="preserve"> Рацион предполагает экстремально низкий уровень углеводов при высоком содержании жиров. Важно потребление незаменимых жирных кислот (EFAs) для производства простагландинов, регулирующих давление и воспаление. Диета делает ставку на мононенасыщенные жиры (авокадо, оливковое масло) как наиболее здоровые.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Риски и ограничения:</w:t>
      </w:r>
      <w:r w:rsidDel="00000000" w:rsidR="00000000" w:rsidRPr="00000000">
        <w:rPr>
          <w:rtl w:val="0"/>
        </w:rPr>
        <w:t xml:space="preserve"> Кето-диета дает быстрый результат в потере веса, но несет риск дефицита клетчатки и микронутриентов. Из-за высокой нагрузки на органы пищеварения она жестко противопоказана при заболеваниях поджелудочной железы, печени и нарушениях жирового обмена.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em93qy6xhn9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Интервальное голодание (16/8, 5/2)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Этот подход регулирует не состав, а временные окна приема пищи для повышения чувствительности к инсулину и запуска аутофагии (клеточного самоочищения).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Протоколы: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16/8:</w:t>
      </w:r>
      <w:r w:rsidDel="00000000" w:rsidR="00000000" w:rsidRPr="00000000">
        <w:rPr>
          <w:rtl w:val="0"/>
        </w:rPr>
        <w:t xml:space="preserve"> 16 часов поста повышают метаболическую гибкость.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5/2:</w:t>
      </w:r>
      <w:r w:rsidDel="00000000" w:rsidR="00000000" w:rsidRPr="00000000">
        <w:rPr>
          <w:rtl w:val="0"/>
        </w:rPr>
        <w:t xml:space="preserve"> 2 дня резкого ограничения калорийности в неделю.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Плюсом является простота соблюдения и улучшение когнитивных функций. К минусам относятся риск переедания в «окно» и гипогликемия. </w:t>
      </w:r>
      <w:r w:rsidDel="00000000" w:rsidR="00000000" w:rsidRPr="00000000">
        <w:rPr>
          <w:b w:val="1"/>
          <w:bCs w:val="1"/>
          <w:rtl w:val="0"/>
        </w:rPr>
        <w:t xml:space="preserve">Группы риска:</w:t>
      </w:r>
      <w:r w:rsidDel="00000000" w:rsidR="00000000" w:rsidRPr="00000000">
        <w:rPr>
          <w:rtl w:val="0"/>
        </w:rPr>
        <w:t xml:space="preserve"> Беременные, подростки, люди с расстройствами пищевого поведения (РПП) и диабетики 1 типа.</w:t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b3s7brxmioy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Растительное питание (Вегетарианство и Веганство)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Растительные диеты эффективны для снижения ИМТ и уровня холестерина, однако требуют прецизионного подхода к аминокислотному составу.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Проблема полноценности белка:</w:t>
      </w:r>
      <w:r w:rsidDel="00000000" w:rsidR="00000000" w:rsidRPr="00000000">
        <w:rPr>
          <w:rtl w:val="0"/>
        </w:rPr>
        <w:t xml:space="preserve"> Большинство растительных белков являются неполноценными. Согласно «Basic Nutrition Concepts», </w:t>
      </w:r>
      <w:r w:rsidDel="00000000" w:rsidR="00000000" w:rsidRPr="00000000">
        <w:rPr>
          <w:b w:val="1"/>
          <w:bCs w:val="1"/>
          <w:rtl w:val="0"/>
        </w:rPr>
        <w:t xml:space="preserve">соя</w:t>
      </w:r>
      <w:r w:rsidDel="00000000" w:rsidR="00000000" w:rsidRPr="00000000">
        <w:rPr>
          <w:rtl w:val="0"/>
        </w:rPr>
        <w:t xml:space="preserve"> — единственный растительный продукт с полным набором аминокислот. Остальные источники необходимо комбинировать: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Рис + Бобовые;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Кукуруза + Бобовые.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Мониторинг дефицитов:</w:t>
      </w:r>
      <w:r w:rsidDel="00000000" w:rsidR="00000000" w:rsidRPr="00000000">
        <w:rPr>
          <w:rtl w:val="0"/>
        </w:rPr>
        <w:t xml:space="preserve"> Необходимо отслеживать уровень B12, железа и йода. Хронический дефицит витаминов группы B может привести к развитию бери-бери, пеллагры и различных форм анемии.</w:t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87dk3khffdd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Палео-диета и Low-Carb системы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Палео-диета апеллирует к эволюционному рациону, исключая продукты аграрной эпохи (зерновые, бобовые, сахар).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Концепция антинутриентов:</w:t>
      </w:r>
      <w:r w:rsidDel="00000000" w:rsidR="00000000" w:rsidRPr="00000000">
        <w:rPr>
          <w:rtl w:val="0"/>
        </w:rPr>
        <w:t xml:space="preserve"> В отличие от DASH, поощряющей цельнозерновые продукты, Палео исключает их из-за наличия «антинутриентов» и потенциального влияния на гликемические скачки. Low-Carb системы более гибкие, чем кето, и допускают умеренное потребление сложных углеводов, обеспечивая стабильный гликемический контроль без экстремального кетоза.</w:t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d1xitt7a7yx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Сравнительный анализ и инструменты мониторинга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Выбор системы должен базироваться на данных доказательной медицины и анализе состава продуктов через государственные и открытые базы данных.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Инфраструктура USDA FoodData Central:</w:t>
      </w:r>
      <w:r w:rsidDel="00000000" w:rsidR="00000000" w:rsidRPr="00000000">
        <w:rPr>
          <w:rtl w:val="0"/>
        </w:rPr>
        <w:t xml:space="preserve"> Для точных расчетов эксперты используют пять типов данных FDC: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Foundation Foods:</w:t>
      </w:r>
      <w:r w:rsidDel="00000000" w:rsidR="00000000" w:rsidRPr="00000000">
        <w:rPr>
          <w:rtl w:val="0"/>
        </w:rPr>
        <w:t xml:space="preserve"> Глубокий анализ базовых продуктов.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SR Legacy:</w:t>
      </w:r>
      <w:r w:rsidDel="00000000" w:rsidR="00000000" w:rsidRPr="00000000">
        <w:rPr>
          <w:rtl w:val="0"/>
        </w:rPr>
        <w:t xml:space="preserve"> Исторический стандарт усредненных значений.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FNDDS:</w:t>
      </w:r>
      <w:r w:rsidDel="00000000" w:rsidR="00000000" w:rsidRPr="00000000">
        <w:rPr>
          <w:rtl w:val="0"/>
        </w:rPr>
        <w:t xml:space="preserve"> Данные для диетологических исследований (NHANES).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Experimental Foods:</w:t>
      </w:r>
      <w:r w:rsidDel="00000000" w:rsidR="00000000" w:rsidRPr="00000000">
        <w:rPr>
          <w:rtl w:val="0"/>
        </w:rPr>
        <w:t xml:space="preserve"> Данные о продуктах с уникальными условиями выращивания.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Branded Foods:</w:t>
      </w:r>
      <w:r w:rsidDel="00000000" w:rsidR="00000000" w:rsidRPr="00000000">
        <w:rPr>
          <w:rtl w:val="0"/>
        </w:rPr>
        <w:t xml:space="preserve"> Состав коммерческих брендов от производителей.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dtlk7hqf96k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Сравнительная характеристика систем питания</w:t>
      </w:r>
    </w:p>
    <w:tbl>
      <w:tblPr>
        <w:tblStyle w:val="Table1"/>
        <w:tblW w:w="9025.511811023622" w:type="dxa"/>
        <w:jc w:val="left"/>
        <w:tblBorders>
          <w:top w:color="808080" w:space="0" w:sz="6" w:val="single"/>
          <w:left w:color="808080" w:space="0" w:sz="6" w:val="single"/>
          <w:bottom w:color="808080" w:space="0" w:sz="6" w:val="single"/>
          <w:right w:color="808080" w:space="0" w:sz="6" w:val="single"/>
          <w:insideH w:color="808080" w:space="0" w:sz="6" w:val="single"/>
          <w:insideV w:color="808080" w:space="0" w:sz="6" w:val="single"/>
        </w:tblBorders>
        <w:tblLayout w:type="fixed"/>
        <w:tblLook w:val="0600"/>
      </w:tblPr>
      <w:tblGrid>
        <w:gridCol w:w="1948.3263528229188"/>
        <w:gridCol w:w="1204.20170882895"/>
        <w:gridCol w:w="1456.243926955939"/>
        <w:gridCol w:w="1216.2037192159491"/>
        <w:gridCol w:w="1576.2640308259342"/>
        <w:gridCol w:w="1624.2720723739321"/>
        <w:tblGridChange w:id="0">
          <w:tblGrid>
            <w:gridCol w:w="1948.3263528229188"/>
            <w:gridCol w:w="1204.20170882895"/>
            <w:gridCol w:w="1456.243926955939"/>
            <w:gridCol w:w="1216.2037192159491"/>
            <w:gridCol w:w="1576.2640308259342"/>
            <w:gridCol w:w="1624.2720723739321"/>
          </w:tblGrid>
        </w:tblGridChange>
      </w:tblGrid>
      <w:tr>
        <w:trPr>
          <w:cantSplit w:val="0"/>
          <w:trHeight w:val="1085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Тип диеты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Основной фокус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Ключевой нутриент/продукт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Главный риск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Научный статус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Микронутриенты для контроля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Средиземноморская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Сердце/долголетие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Оливковое масло EV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Избыток калорий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Золотой стандарт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Железо, Кальций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DASH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Гипертония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Калий, Кальций, Магний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Дефицит натрия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Золотой стандарт (NIH)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Натрий, Магний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Кетогенная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Вес/Гликемия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Ненасыщенные жиры/EFAs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Дефицит клетчатки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Терапевтическая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Витамины группы B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Веганство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ИМТ/Этика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Соя, бобовые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Дефицит B12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Одобрено ВОЗ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B12, Железо, Йод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Палео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Метаболизм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Мясо, овощи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Исключение групп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Эмпирическая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Кальций</w:t>
            </w:r>
          </w:p>
        </w:tc>
      </w:tr>
    </w:tbl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Технологический мониторинг:</w:t>
      </w:r>
      <w:r w:rsidDel="00000000" w:rsidR="00000000" w:rsidRPr="00000000">
        <w:rPr>
          <w:rtl w:val="0"/>
        </w:rPr>
        <w:t xml:space="preserve"> Для автоматизации планирования (особенно в рамках 30-дневных циклов без повторений) применяются алгоритмы </w:t>
      </w:r>
      <w:r w:rsidDel="00000000" w:rsidR="00000000" w:rsidRPr="00000000">
        <w:rPr>
          <w:b w:val="1"/>
          <w:bCs w:val="1"/>
          <w:rtl w:val="0"/>
        </w:rPr>
        <w:t xml:space="preserve">смешанного целочисленного линейного программирования (MILP)</w:t>
      </w:r>
      <w:r w:rsidDel="00000000" w:rsidR="00000000" w:rsidRPr="00000000">
        <w:rPr>
          <w:rtl w:val="0"/>
        </w:rPr>
        <w:t xml:space="preserve">. Современные инструменты, такие как </w:t>
      </w:r>
      <w:r w:rsidDel="00000000" w:rsidR="00000000" w:rsidRPr="00000000">
        <w:rPr>
          <w:b w:val="1"/>
          <w:bCs w:val="1"/>
          <w:rtl w:val="0"/>
        </w:rPr>
        <w:t xml:space="preserve">Mealie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FoodYou</w:t>
      </w:r>
      <w:r w:rsidDel="00000000" w:rsidR="00000000" w:rsidRPr="00000000">
        <w:rPr>
          <w:rtl w:val="0"/>
        </w:rPr>
        <w:t xml:space="preserve"> и API </w:t>
      </w:r>
      <w:r w:rsidDel="00000000" w:rsidR="00000000" w:rsidRPr="00000000">
        <w:rPr>
          <w:b w:val="1"/>
          <w:bCs w:val="1"/>
          <w:rtl w:val="0"/>
        </w:rPr>
        <w:t xml:space="preserve">USDA FoodData Central</w:t>
      </w:r>
      <w:r w:rsidDel="00000000" w:rsidR="00000000" w:rsidRPr="00000000">
        <w:rPr>
          <w:rtl w:val="0"/>
        </w:rPr>
        <w:t xml:space="preserve">, позволяют отслеживать более 60 показателей нутриентов в реальном времени.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Заключение:</w:t>
      </w:r>
      <w:r w:rsidDel="00000000" w:rsidR="00000000" w:rsidRPr="00000000">
        <w:rPr>
          <w:rtl w:val="0"/>
        </w:rPr>
        <w:t xml:space="preserve"> Перед радикальной сменой системы питания необходима консультация специалиста для оценки индивидуальных противопоказаний и рисков дефицитарных состояний.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