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inbpcgjy8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Методология и практика составления индивидуальных планов питания: Экспертное руководство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Сбалансированное питание является фундаментальной системой профилактики неинфекционных заболеваний. Согласно стандартам Всемирной организации здравоохранения (ВОЗ), качественный рацион — это не просто набор нутриентов, а сложная метаболическая среда, определяющая долгосрочное здоровье. С точки зрения архитектуры медицинских баз знаний (RAG-систем), построение рациона рассматривается как задача многокритериальной оптимизации, где целью является удовлетворение Daily Recommended Values (DRV) при минимизации стохастических ошибок и обеспечении высокой приверженности (adherence) через разнообразие продуктов. В основе данного руководства лежит метод смешанного целочисленного линейного программирования (MILP), позволяющий синтезировать данные USDA, Mayo Clinic и WHO в персонализированный алгоритм.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6kstyp6oz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Фундаментальные принципы построения рациона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корректной работы алгоритма планирования необходимо определить базовые входные переменные (input variables) — макро- и микронутриенты.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 нутриентного состава: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Макронутриенты:</w:t>
      </w:r>
      <w:r w:rsidDel="00000000" w:rsidR="00000000" w:rsidRPr="00000000">
        <w:rPr>
          <w:rtl w:val="0"/>
        </w:rPr>
        <w:t xml:space="preserve"> Липиды (жиры) — депо энергии и база для синтеза мембран; Протеины (белки) — структурный материал и регуляторы иммунной системы; Углеводы — основной источник глюкозы для ЦНС.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Микронутриенты:</w:t>
      </w:r>
      <w:r w:rsidDel="00000000" w:rsidR="00000000" w:rsidRPr="00000000">
        <w:rPr>
          <w:rtl w:val="0"/>
        </w:rPr>
        <w:t xml:space="preserve"> Витамины (органические регуляторы) и минералы (неорганические элементы, такие как кальций и магний). Валидация источников данных показывает, что отсутствие даже следовых количеств микронутриентов (например, йода или железа) ведет к системным сбоям метаболизма.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Качественные характеристики:</w:t>
      </w:r>
      <w:r w:rsidDel="00000000" w:rsidR="00000000" w:rsidRPr="00000000">
        <w:rPr>
          <w:rtl w:val="0"/>
        </w:rPr>
        <w:t xml:space="preserve"> Дифференциация углеводов на простые (быстрые скачки гликемии) и сложные (стабильное высвобождение энергии) критична для управления инсулинорезистентностью. Важно учитывать, что </w:t>
      </w:r>
      <w:r w:rsidDel="00000000" w:rsidR="00000000" w:rsidRPr="00000000">
        <w:rPr>
          <w:b w:val="1"/>
          <w:bCs w:val="1"/>
          <w:rtl w:val="0"/>
        </w:rPr>
        <w:t xml:space="preserve">полные белки</w:t>
      </w:r>
      <w:r w:rsidDel="00000000" w:rsidR="00000000" w:rsidRPr="00000000">
        <w:rPr>
          <w:rtl w:val="0"/>
        </w:rPr>
        <w:t xml:space="preserve">, содержащие все незаменимые аминокислоты, включают не только продукты животного происхождения, но и </w:t>
      </w:r>
      <w:r w:rsidDel="00000000" w:rsidR="00000000" w:rsidRPr="00000000">
        <w:rPr>
          <w:b w:val="1"/>
          <w:bCs w:val="1"/>
          <w:rtl w:val="0"/>
        </w:rPr>
        <w:t xml:space="preserve">сою (тофу, темпе)</w:t>
      </w:r>
      <w:r w:rsidDel="00000000" w:rsidR="00000000" w:rsidRPr="00000000">
        <w:rPr>
          <w:rtl w:val="0"/>
        </w:rPr>
        <w:t xml:space="preserve">. Клетчатка (целевой таргет — не менее 25 г/день) необходима для пролонгации насыщения и поддержки микробиома.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Пищевая плотность:</w:t>
      </w:r>
      <w:r w:rsidDel="00000000" w:rsidR="00000000" w:rsidRPr="00000000">
        <w:rPr>
          <w:rtl w:val="0"/>
        </w:rPr>
        <w:t xml:space="preserve"> Согласно модели Mayo Clinic, «здоровая тарелка» формируется в пропорции: 1/2 — овощи и фрукты, 1/4 — цельнозерновые (бурый рис, киноа), 1/4 — постный белок.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Data-driven совет:</w:t>
      </w:r>
      <w:r w:rsidDel="00000000" w:rsidR="00000000" w:rsidRPr="00000000">
        <w:rPr>
          <w:rtl w:val="0"/>
        </w:rPr>
        <w:t xml:space="preserve"> Для максимизации нутриентной плотности рекомендуется очищать овощи щеткой вместо пилинга кожицы, где сосредоточена концентрация витаминов.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Понимание этих параметров позволяет перейти от качественной оценки к математическому расчету энергетического баланса.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fjzghd5tz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Алгоритм расчета КБЖУ под различные цели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Индивидуализация рациона требует расчета базовой скорости метаболизма (BMR) с последующей алгоритмической коррекцией на коэффициент активности.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Энергетическая ценность:</w:t>
      </w:r>
      <w:r w:rsidDel="00000000" w:rsidR="00000000" w:rsidRPr="00000000">
        <w:rPr>
          <w:rtl w:val="0"/>
        </w:rPr>
        <w:t xml:space="preserve"> Константы для расчетов: белки и углеводы — 4 ккал/г, жиры — 9 ккал/г.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Стратегические модификации: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Похудение:</w:t>
      </w:r>
      <w:r w:rsidDel="00000000" w:rsidR="00000000" w:rsidRPr="00000000">
        <w:rPr>
          <w:rtl w:val="0"/>
        </w:rPr>
        <w:t xml:space="preserve"> Дефицит 10-15% от нормы поддержания. Архитектура рациона строится на продуктах с низкой энергетической плотностью (volume eating).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Поддержание:</w:t>
      </w:r>
      <w:r w:rsidDel="00000000" w:rsidR="00000000" w:rsidRPr="00000000">
        <w:rPr>
          <w:rtl w:val="0"/>
        </w:rPr>
        <w:t xml:space="preserve"> Энергетический гомеостаз (45-65% углеводов, 20-35% жиров).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Набор массы:</w:t>
      </w:r>
      <w:r w:rsidDel="00000000" w:rsidR="00000000" w:rsidRPr="00000000">
        <w:rPr>
          <w:rtl w:val="0"/>
        </w:rPr>
        <w:t xml:space="preserve"> Профицит калорий с таргетом по белку 1.6–2.0 г/кг для стимуляции мышечного анаболизма.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Микронутриентный таргет (DASH-модель):</w:t>
      </w:r>
      <w:r w:rsidDel="00000000" w:rsidR="00000000" w:rsidRPr="00000000">
        <w:rPr>
          <w:rtl w:val="0"/>
        </w:rPr>
        <w:t xml:space="preserve"> Для контроля артериального давления необходимо ограничивать натрий (до 5 г соли/день для взрослых, </w:t>
      </w:r>
      <w:r w:rsidDel="00000000" w:rsidR="00000000" w:rsidRPr="00000000">
        <w:rPr>
          <w:b w:val="1"/>
          <w:bCs w:val="1"/>
          <w:rtl w:val="0"/>
        </w:rPr>
        <w:t xml:space="preserve">1500 мг натрия для подростков и групп риска</w:t>
      </w:r>
      <w:r w:rsidDel="00000000" w:rsidR="00000000" w:rsidRPr="00000000">
        <w:rPr>
          <w:rtl w:val="0"/>
        </w:rPr>
        <w:t xml:space="preserve">) и повышать калий. Оптимальные источники калия для системы: изюм, фасоль, бананы и шпинат.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Инсайт:</w:t>
      </w:r>
      <w:r w:rsidDel="00000000" w:rsidR="00000000" w:rsidRPr="00000000">
        <w:rPr>
          <w:rtl w:val="0"/>
        </w:rPr>
        <w:t xml:space="preserve"> Витамин С (цитрусовые, клубника) критически важен в меню для повышения биодоступности негемового железа из растительных источников.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v6l3b6rb8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Практические планы питания на 7 дней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предотвращения «усталости от рациона» и оптимизации микробиома, данные планы исключают дублирование рецептов в рамках цикла (принцип non-replication). Каждая порция белка (рыба/мясо) ориентирована на размер «колоды карт» (3-5 унций / 85-140 г).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lxdptvvq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1: Похудение (Дефицит 10-15%, акцент на объем и клетчатку)</w:t>
      </w:r>
    </w:p>
    <w:tbl>
      <w:tblPr>
        <w:tblStyle w:val="Table1"/>
        <w:tblW w:w="9025.511811023622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660.947920846856"/>
        <w:gridCol w:w="2335.6470446142284"/>
        <w:gridCol w:w="1987.3096268706147"/>
        <w:gridCol w:w="2134.6831497621433"/>
        <w:gridCol w:w="1906.9240689297808"/>
        <w:tblGridChange w:id="0">
          <w:tblGrid>
            <w:gridCol w:w="660.947920846856"/>
            <w:gridCol w:w="2335.6470446142284"/>
            <w:gridCol w:w="1987.3096268706147"/>
            <w:gridCol w:w="2134.6831497621433"/>
            <w:gridCol w:w="1906.924068929780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Завтрак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Обед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Ужин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Нутриентный акцент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Овсянка с ягодами (50г)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Лосось (120г) + Спарка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Индейка + Зеленый салат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Омега-3 / Клетчатка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Тофу-скрембл с томатами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Чечевичный суп (250мл)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Треска на пару + Брокколи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Полный растит. белок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Творог 0% + Миндаль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Грудка гриль + Киноа (100г)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Салат с тунцом и оливками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Магний / Протеин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Гречка (150г) + 1 яйцо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Нут тушеный с овощами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Стейк из капусты + Креветки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Сложные углеводы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Йогурт + Чиа + Черника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Запеченная макрель + Кале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Куриное филе + Болг. перец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Антиоксиданты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Омлет с кабачками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Суп-пюре из тыквы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Камбала + Салатный микс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Витамин А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Цельнозерновой тост + Авокадо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Индейка с брокколи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Творожная запеканка (без сахара)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Полезные липиды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oi651rjeb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2: Поддержание (Энергетический баланс, Средиземноморский стиль)</w:t>
      </w:r>
    </w:p>
    <w:tbl>
      <w:tblPr>
        <w:tblStyle w:val="Table2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659.9682549562727"/>
        <w:gridCol w:w="1810.4534561638295"/>
        <w:gridCol w:w="2131.5190937101243"/>
        <w:gridCol w:w="2037.8749494257884"/>
        <w:gridCol w:w="2385.696056767608"/>
        <w:tblGridChange w:id="0">
          <w:tblGrid>
            <w:gridCol w:w="659.9682549562727"/>
            <w:gridCol w:w="1810.4534561638295"/>
            <w:gridCol w:w="2131.5190937101243"/>
            <w:gridCol w:w="2037.8749494257884"/>
            <w:gridCol w:w="2385.6960567676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Завтрак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Обед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Ужин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Нутриентный акцент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Сэндвич с лососем и зеленью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Паста интегральная с песто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Сибас + Запеченный картофель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Мононенасыщенные жиры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Шакшука (2 яйца) + Тост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Булгур с говядиной (120г)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Салат Нисуаз с фасолью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Железо + Калий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Каша из полбы с курагой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Ризотто с морепродуктами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Курица в соусе софрито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Ликопин (усвоение с маслом)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Творог 5% + Ягоды + Фундук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Лазанья овощная (баклажан)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Форель + Стручковая фасоль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Кальций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Блины из нутовой муки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Телятина + Дикий рис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Салат с моцареллой и томатами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Фосфор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Гранола (без сахара) + Молоко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Треска в томатном соусе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Кебаб из индейки + Овощи-гриль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Селен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Яйца пашот + Спаржа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Суп минестроне + Пармезан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Тунец-гриль + Руккола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Витамины группы B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ayvnkgl0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3: Набор массы (Профицит, 1.8г белка/кг)</w:t>
      </w:r>
    </w:p>
    <w:tbl>
      <w:tblPr>
        <w:tblStyle w:val="Table3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660.947920846856"/>
        <w:gridCol w:w="2134.6831497621433"/>
        <w:gridCol w:w="2040.8999988311707"/>
        <w:gridCol w:w="2134.6831497621433"/>
        <w:gridCol w:w="2054.2975918213097"/>
        <w:tblGridChange w:id="0">
          <w:tblGrid>
            <w:gridCol w:w="660.947920846856"/>
            <w:gridCol w:w="2134.6831497621433"/>
            <w:gridCol w:w="2040.8999988311707"/>
            <w:gridCol w:w="2134.6831497621433"/>
            <w:gridCol w:w="2054.297591821309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Завтрак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Обед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Ужин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Нутриентный акцент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Омлет (3 яйца) + Орехи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Стейк (200г) + Батат (150г)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Паста болоньезе (цельная)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 аминопрофиль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Сэндвич с арах. пастой и бананом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Курица (200г) + Кус-кус (150г)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Свиная вырезка + Чечевица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Энергоплотность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Творог 9% + Мед + Грец. орех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Плов из бурого риса с бараниной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Семга (180г) + Макароны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Омега-3 + Цинк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Каша овсяная на молоке + Сыр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Буррито (индейка, фасоль)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Запеченная утка + Киноа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Сложные нутриенты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Яичница с беконом и тостом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Гуляш с гречкой (200г)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Морепродукты в слив. соусе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Медь + Белок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Панкейки протеиновые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Запеченная говядина + Перловка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Лосось в фольге + Картофель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Витамин 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Творожный сыр + Лосось + Тост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Куриные бедра + Рис басмати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Стейк из тунца + Нут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Максимальный гликоген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71yxtwoz7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Тайминг и частота приемов пищи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режима питания влияет на гликемический профиль и чувствительность тканей к инсулину.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Интервальный подход (2-3 раза):</w:t>
      </w:r>
      <w:r w:rsidDel="00000000" w:rsidR="00000000" w:rsidRPr="00000000">
        <w:rPr>
          <w:rtl w:val="0"/>
        </w:rPr>
        <w:t xml:space="preserve"> Оптимизирует время покоя поджелудочной железы, что благоприятно для липолиза и коррекции метаболического синдрома.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Дробное питание (5 раз):</w:t>
      </w:r>
      <w:r w:rsidDel="00000000" w:rsidR="00000000" w:rsidRPr="00000000">
        <w:rPr>
          <w:rtl w:val="0"/>
        </w:rPr>
        <w:t xml:space="preserve"> Предпочтительно при гиперметаболизме, наборе массы и для предотвращения эпизодов гипогликемии.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Гидратация:</w:t>
      </w:r>
      <w:r w:rsidDel="00000000" w:rsidR="00000000" w:rsidRPr="00000000">
        <w:rPr>
          <w:rtl w:val="0"/>
        </w:rPr>
        <w:t xml:space="preserve"> Вода — ключевая транспортная среда (6-8 стаканов/день). Важно: чистая вода приоритетнее соков, так как не содержит добавленных сахаров, замедляющих метаболизм.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ii2ll0q0h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Учет индивидуальных факторов: Аллергии и образ жизни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Базовые планы требуют валидации под конкретные ограничения пользователя.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Клинические замены:</w:t>
      </w:r>
      <w:r w:rsidDel="00000000" w:rsidR="00000000" w:rsidRPr="00000000">
        <w:rPr>
          <w:rtl w:val="0"/>
        </w:rPr>
        <w:t xml:space="preserve"> При непереносимости лактозы используются фортифицированные соевые или миндальные напитки. Соя в форме тофу — адекватный «input» для восполнения белка у веганов.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 и гипертония:</w:t>
      </w:r>
      <w:r w:rsidDel="00000000" w:rsidR="00000000" w:rsidRPr="00000000">
        <w:rPr>
          <w:rtl w:val="0"/>
        </w:rPr>
        <w:t xml:space="preserve"> Исследования показывают, что DASH-диета снижает давление в течение 14 дней. Важнейшим инструментом является замена соли на специи (базилик, чеснок, лимон), что позволяет сохранить вкус при снижении натрия.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Синергия нутриентов:</w:t>
      </w:r>
      <w:r w:rsidDel="00000000" w:rsidR="00000000" w:rsidRPr="00000000">
        <w:rPr>
          <w:rtl w:val="0"/>
        </w:rPr>
        <w:t xml:space="preserve"> Введение в рацион софрито (медленное томление томатов с луком и чесноком в оливковом масле) кратно повышает биодоступность ликопина.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uvmf3boq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Критический анализ частых ошибок в нутрициологии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Качество исходных данных (продуктов) важнее точности расчета калорий.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Денатурация белков:</w:t>
      </w:r>
      <w:r w:rsidDel="00000000" w:rsidR="00000000" w:rsidRPr="00000000">
        <w:rPr>
          <w:rtl w:val="0"/>
        </w:rPr>
        <w:t xml:space="preserve"> Обжарка мяса до черной корки (charring) делает белок химически нежизнеспособным для абсорбции. Такие протеины становятся «балластом», не участвующим в пластическом обмене.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Скрытые угрозы:</w:t>
      </w:r>
      <w:r w:rsidDel="00000000" w:rsidR="00000000" w:rsidRPr="00000000">
        <w:rPr>
          <w:rtl w:val="0"/>
        </w:rPr>
        <w:t xml:space="preserve"> Использование трансжиров (гидрогенизированных масел) ведет к повреждению эндотелия сосудов. Скрытый натрий в готовых соусах и консервах часто превышает суточную норму в одной порции.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Исключение групп:</w:t>
      </w:r>
      <w:r w:rsidDel="00000000" w:rsidR="00000000" w:rsidRPr="00000000">
        <w:rPr>
          <w:rtl w:val="0"/>
        </w:rPr>
        <w:t xml:space="preserve"> Полный отказ от жиров блокирует усвоение витаминов A, D, E, K.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Заключение:</w:t>
      </w:r>
      <w:r w:rsidDel="00000000" w:rsidR="00000000" w:rsidRPr="00000000">
        <w:rPr>
          <w:rtl w:val="0"/>
        </w:rPr>
        <w:t xml:space="preserve"> Долгосрочный успех в нутрициологии строится на сочетании строгого алгоритмического расчета и высокого качества цельных продуктов. Эффективный план питания — это динамическая система, требующая регулярной валидации и адаптации под изменяющиеся физиологические параметры. Используйте базы данных Open Food Facts и USDA для верификации состава продуктов и минимизации рисков скрытых добавок.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