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e44ew804t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Микронутриенты: Комплексное руководство по витаминам и минералам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1pnazq2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Фундаментальная роль микронутриентов в метаболизме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Микронутриенты — витамины и минералы — представляют собой эссенциальные нутриенты, которые, несмотря на потребность в ничтожно малых дозах, выполняют роль стратегических регуляторов метаболизма. В биохимическом аспекте они выступают катализаторами реакций, кофакторами ферментов и ключевыми элементами в синтезе гормонов. Микронутриенты являются органическими (витамины) и неорганическими (минералы) соединениями, необходимыми для обеспечения нормального роста, регенерации и клеточного гомеостаза.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«So What?»: Дихотомия макро- и микронутриентов</w:t>
      </w:r>
      <w:r w:rsidDel="00000000" w:rsidR="00000000" w:rsidRPr="00000000">
        <w:rPr>
          <w:rtl w:val="0"/>
        </w:rPr>
        <w:t xml:space="preserve"> Разделение на макро- и микронутриенты часто приводит к метаболической недооценке последних. Если макронутриенты (белки, жиры, углеводы) обеспечивают организм «топливом» и структурным субстратом, то микронутриенты являются функциональными инструментами. Без достаточного количества коферментов и кофакторов эффективное извлечение энергии из макронутриентов невозможно. Согласно данным Всемирной организации здравоохранения (ВОЗ), дефицит йода, витамина А и железа остается глобальной угрозой общественному здоровью, приводя к системным задержкам развития у детей и осложнениям у беременных женщин. Понимание их биохимии начинается с классификации по химической среде, где определяющим фактором является растворимость.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5p6h5qvrk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Жирорастворимые витамины (A, D, E, K): Депо и биодоступность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Жирорастворимые витамины (A, D, E, K) характеризуются способностью растворяться в липидах, что определяет специфику их абсорбции и хранения. Для их эффективной транспортировки в системный кровоток необходимы пищевые жиры, а избыток этих соединений депонируется в печени и адипоцитах.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«So What?»: Риски гипервитаминоза и токсичности</w:t>
      </w:r>
      <w:r w:rsidDel="00000000" w:rsidR="00000000" w:rsidRPr="00000000">
        <w:rPr>
          <w:rtl w:val="0"/>
        </w:rPr>
        <w:t xml:space="preserve"> Способность организма создавать значительные депо жирорастворимых витаминов имеет серьезный клинический риск. В отличие от водорастворимых нутриентов, излишки которых экскретируются почками, бесконтрольный прием добавок A, D, E и K может привести к накоплению токсичных концентраций. Физиологические последствия гипервитаминоза варьируются от кальцификации мягких тканей (при избытке D) до тератогенных эффектов и повреждения печени.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efm4lfay6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Детальный биохимический разбор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Витамин A (ретинол, бета-каротин):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  <w:r w:rsidDel="00000000" w:rsidR="00000000" w:rsidRPr="00000000">
        <w:rPr>
          <w:rtl w:val="0"/>
        </w:rPr>
        <w:t xml:space="preserve"> Необходим для фоторецепции (зрения), поддержания целостности эпителия, иммунного ответа и регенерации тканей. Бета-каротин выступает в роли прекурсора и антиоксиданта.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Животные продукты (печень, цельное молоко, яйца) содержат ретинол; растительные (морковь, тыква, шпинат, брокколи) богаты бета-каротином.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Дефицит:</w:t>
      </w:r>
      <w:r w:rsidDel="00000000" w:rsidR="00000000" w:rsidRPr="00000000">
        <w:rPr>
          <w:rtl w:val="0"/>
        </w:rPr>
        <w:t xml:space="preserve"> Ведет к ксерофтальмии («куриная слепота») и снижению резистентности к инфекциям.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Витамин D (холекальциферол):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  <w:r w:rsidDel="00000000" w:rsidR="00000000" w:rsidRPr="00000000">
        <w:rPr>
          <w:rtl w:val="0"/>
        </w:rPr>
        <w:t xml:space="preserve"> Регуляция костного метаболизма и поддержание гомеостаза кальция и фосфора.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Синтезируется в коже под действием УФ-излучения (требуется 10–20 минут экспозиции); пищевые источники включают жирную рыбу (лосось), яичные желтки и обогащенные продукты.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Дефицит:</w:t>
      </w:r>
      <w:r w:rsidDel="00000000" w:rsidR="00000000" w:rsidRPr="00000000">
        <w:rPr>
          <w:rtl w:val="0"/>
        </w:rPr>
        <w:t xml:space="preserve"> Проявляется в виде рахита у детей и остеопороза/остеомаляции у взрослых.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Витамин E (альфа-токоферол):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  <w:r w:rsidDel="00000000" w:rsidR="00000000" w:rsidRPr="00000000">
        <w:rPr>
          <w:rtl w:val="0"/>
        </w:rPr>
        <w:t xml:space="preserve"> Мощный антиоксидант, защищающий мембраны клеток от повреждения свободными радикалами. Поддерживает здоровье кожи и сердечно-сосудистой системы.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Растительные масла, орехи, семена, цельнозерновые злаки.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Витамин K: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  <w:r w:rsidDel="00000000" w:rsidR="00000000" w:rsidRPr="00000000">
        <w:rPr>
          <w:rtl w:val="0"/>
        </w:rPr>
        <w:t xml:space="preserve"> Критический фактор свертываемости крови (синтез протромбина) и минерализации костей.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Зеленые листовые овощи (шпинат, капуста), брокколи, цветная капуста.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этих накопительных нутриентов, водорастворимые соединения требуют ежедневного поступления ввиду отсутствия механизмов длительного хранения.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2e95fxxv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Водорастворимые витамины: Витамин C и комплекс группы B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Водорастворимые витамины не накапливаются в организме (за исключением B12) и быстро экскретируются. Они крайне чувствительны к термической обработке, свету и условиям хранения, что требует их регулярного присутствия в рационе.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«So What?»: Когнитивная функция и метаболическая гибкость</w:t>
      </w:r>
      <w:r w:rsidDel="00000000" w:rsidR="00000000" w:rsidRPr="00000000">
        <w:rPr>
          <w:rtl w:val="0"/>
        </w:rPr>
        <w:t xml:space="preserve"> Витамины группы B функционируют как коферменты в циклах извлечения энергии из белков, жиров и углеводов. Их дефицит приводит к немедленному снижению метаболической гибкости и нарушению синтеза нейромедиаторов, что манифестирует в виде хронической усталости, когнитивной дисфункции и неврологических расстройств.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hei9pqhwf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Синтез данных по нутриентам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Витамин C (аскорбиновая кислота):</w:t>
      </w:r>
      <w:r w:rsidDel="00000000" w:rsidR="00000000" w:rsidRPr="00000000">
        <w:rPr>
          <w:rtl w:val="0"/>
        </w:rPr>
        <w:t xml:space="preserve"> Кофактор синтеза коллагена, необходим для здоровья сосудов и заживления ран. Обладает выраженными антиоксидантными свойствами.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Комплекс витаминов группы B: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B1 (тиамин):</w:t>
      </w:r>
      <w:r w:rsidDel="00000000" w:rsidR="00000000" w:rsidRPr="00000000">
        <w:rPr>
          <w:rtl w:val="0"/>
        </w:rPr>
        <w:t xml:space="preserve"> Метаболизм углеводов и работа нервной системы.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B2 (рибофлавин) и B3 (ниацин):</w:t>
      </w:r>
      <w:r w:rsidDel="00000000" w:rsidR="00000000" w:rsidRPr="00000000">
        <w:rPr>
          <w:rtl w:val="0"/>
        </w:rPr>
        <w:t xml:space="preserve"> Клеточное дыхание, здоровье кожи и слизистых.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B5 (пантотеновая кислота):</w:t>
      </w:r>
      <w:r w:rsidDel="00000000" w:rsidR="00000000" w:rsidRPr="00000000">
        <w:rPr>
          <w:rtl w:val="0"/>
        </w:rPr>
        <w:t xml:space="preserve"> Синтез гормонов и окисление жирных кислот.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B6 (пиридоксин):</w:t>
      </w:r>
      <w:r w:rsidDel="00000000" w:rsidR="00000000" w:rsidRPr="00000000">
        <w:rPr>
          <w:rtl w:val="0"/>
        </w:rPr>
        <w:t xml:space="preserve"> Метаболизм аминокислот и синтез гемоглобина.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B12 (кобаламин):</w:t>
      </w:r>
      <w:r w:rsidDel="00000000" w:rsidR="00000000" w:rsidRPr="00000000">
        <w:rPr>
          <w:rtl w:val="0"/>
        </w:rPr>
        <w:t xml:space="preserve"> Критически важен для </w:t>
      </w:r>
      <w:r w:rsidDel="00000000" w:rsidR="00000000" w:rsidRPr="00000000">
        <w:rPr>
          <w:b w:val="1"/>
          <w:bCs w:val="1"/>
          <w:rtl w:val="0"/>
        </w:rPr>
        <w:t xml:space="preserve">синтеза ДНК и поддержания миелиновых оболочек нервной системы</w:t>
      </w:r>
      <w:r w:rsidDel="00000000" w:rsidR="00000000" w:rsidRPr="00000000">
        <w:rPr>
          <w:rtl w:val="0"/>
        </w:rPr>
        <w:t xml:space="preserve">. Находится преимущественно в животных продуктах (мясо, яйца, морепродукты); веганам обязателен дополнительный прием.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Фолиевая кислота (B9):</w:t>
      </w:r>
      <w:r w:rsidDel="00000000" w:rsidR="00000000" w:rsidRPr="00000000">
        <w:rPr>
          <w:rtl w:val="0"/>
        </w:rPr>
        <w:t xml:space="preserve"> Деление клеток и предотвращение дефектов нейральной трубки плода.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Симптоматика дефицита: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Кровоточивость десен, замедленное заживление ран, склонность к синякам (дефицит C).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Мегалобластная анемия (дефицит B12, фолатов).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Неврологические нарушения: покалывание в конечностях, спутанность сознания, раздражительность.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Дерматиты и трещины в углах рта.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4z1v5d6qo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Эссенциальные минералы и микроэлементы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Минералы являются неорганическими элементами, обеспечивающими структурную прочность (кости, зубы) и регуляцию электролитного баланса.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«So What?»: Биохимическая синергия и баланс</w:t>
      </w:r>
      <w:r w:rsidDel="00000000" w:rsidR="00000000" w:rsidRPr="00000000">
        <w:rPr>
          <w:rtl w:val="0"/>
        </w:rPr>
        <w:t xml:space="preserve"> Минералы и витамины работают в тесной синергии. Для клинической практики важно учитывать специфические комбинации, улучшающие биодоступность: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Железо + Витамин C:</w:t>
      </w:r>
      <w:r w:rsidDel="00000000" w:rsidR="00000000" w:rsidRPr="00000000">
        <w:rPr>
          <w:rtl w:val="0"/>
        </w:rPr>
        <w:t xml:space="preserve"> Потребление шпината с лимонным соком или клубникой значительно повышает абсорбцию негемового железа.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Ликопин + Жиры:</w:t>
      </w:r>
      <w:r w:rsidDel="00000000" w:rsidR="00000000" w:rsidRPr="00000000">
        <w:rPr>
          <w:rtl w:val="0"/>
        </w:rPr>
        <w:t xml:space="preserve"> Усвоение антиоксидантов из томатов многократно усиливается при термической обработке с оливковым маслом.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Кальций + Витамин D:</w:t>
      </w:r>
      <w:r w:rsidDel="00000000" w:rsidR="00000000" w:rsidRPr="00000000">
        <w:rPr>
          <w:rtl w:val="0"/>
        </w:rPr>
        <w:t xml:space="preserve"> Абсорбция кальция в кишечнике напрямую зависит от уровня кальцитриола.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d0guj1ein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Справочная таблица минералов и микроэлементов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271.8386044723777"/>
        <w:gridCol w:w="2552.7617704052723"/>
        <w:gridCol w:w="2539.134928214497"/>
        <w:gridCol w:w="2661.7765079314763"/>
        <w:tblGridChange w:id="0">
          <w:tblGrid>
            <w:gridCol w:w="1271.8386044723777"/>
            <w:gridCol w:w="2552.7617704052723"/>
            <w:gridCol w:w="2539.134928214497"/>
            <w:gridCol w:w="2661.776507931476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Минерал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Ключевая функция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Основные пищевые источники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Последствия дефицита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Кальций (Ca)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Прочность скелета, свертываемость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Молочные продукты, сардины, зелень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Остеопороз, мышечные судороги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Магний (Mg)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Работа мышц, нервный импульс, ЧСС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Орехи, семена, цельные злаки, бобовые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Аритмия, нарушение сна, слабость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Железо (Fe)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Перенос кислорода (гемоглобин)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Красное мясо, печень, чечевица, шпинат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Анемия, когнитивный упадок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Цинк (Zn)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Иммунитет, заживление ран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Морепродукты (устрицы), мясо, зерна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Выпадение волос, медленное заживление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Йод (I)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Синтез гормонов щитовидной железы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Морепродукты, йодированная соль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Зоб, метаболический застой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Селен (Se)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Антиоксидантная защита клеток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Бразильские орехи, рыба, субпродукты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Ослабление иммунной защиты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Калий (K)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pH-баланс, контроль давления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Бананы, картофель, изюм, цитрусовые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Мышечная слабость, отечность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Натрий (Na)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Регуляция объема жидкости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Соль, обработанные продукты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(При избытке) Гипертензия, риск инсульта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t5l9czkgm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Диагностика дефицитов и нутрициологическая коррекция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Ранняя диагностика субклинических дефицитов позволяет предотвратить развитие тяжелых патологий. В современной нутрициологии используется концепция </w:t>
      </w:r>
      <w:r w:rsidDel="00000000" w:rsidR="00000000" w:rsidRPr="00000000">
        <w:rPr>
          <w:b w:val="1"/>
          <w:bCs w:val="1"/>
          <w:rtl w:val="0"/>
        </w:rPr>
        <w:t xml:space="preserve">«скрытого голода»</w:t>
      </w:r>
      <w:r w:rsidDel="00000000" w:rsidR="00000000" w:rsidRPr="00000000">
        <w:rPr>
          <w:rtl w:val="0"/>
        </w:rPr>
        <w:t xml:space="preserve"> — ситуации, когда калорийность рациона достаточна, но плотность микронутриентов критически мала.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«So What?»: Приоритет цельных продуктов</w:t>
      </w:r>
      <w:r w:rsidDel="00000000" w:rsidR="00000000" w:rsidRPr="00000000">
        <w:rPr>
          <w:rtl w:val="0"/>
        </w:rPr>
        <w:t xml:space="preserve"> Коррекция рациона всегда первична по отношению к нутрицевтикам. Цельные продукты обеспечивают естественную матрицу нутриентов и синергистов, которые невозможно воспроизвести в изолированных добавках.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gxb8qgby6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Клиническое руководство по коррекции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Внешние маркеры дефицита:</w:t>
      </w:r>
      <w:r w:rsidDel="00000000" w:rsidR="00000000" w:rsidRPr="00000000">
        <w:rPr>
          <w:rtl w:val="0"/>
        </w:rPr>
        <w:t xml:space="preserve"> Сухость кожи, ломкость волос, «заеды» на губах, хроническая усталость, кровоточивость десен при чистке зубов.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Стратегии восполнения: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Норма ВОЗ:</w:t>
      </w:r>
      <w:r w:rsidDel="00000000" w:rsidR="00000000" w:rsidRPr="00000000">
        <w:rPr>
          <w:rtl w:val="0"/>
        </w:rPr>
        <w:t xml:space="preserve"> Употребление не менее 400 г овощей и фруктов ежедневно (5 порций).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Жировой профиль:</w:t>
      </w:r>
      <w:r w:rsidDel="00000000" w:rsidR="00000000" w:rsidRPr="00000000">
        <w:rPr>
          <w:rtl w:val="0"/>
        </w:rPr>
        <w:t xml:space="preserve"> Замена насыщенных жиров на ненасыщенные (оливковое масло Extra Virgin, жирная рыба, авокадо).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Ограничение натрия:</w:t>
      </w:r>
      <w:r w:rsidDel="00000000" w:rsidR="00000000" w:rsidRPr="00000000">
        <w:rPr>
          <w:rtl w:val="0"/>
        </w:rPr>
        <w:t xml:space="preserve"> Согласно рекомендациям ВОЗ, потребление натрия должно составлять </w:t>
      </w:r>
      <w:r w:rsidDel="00000000" w:rsidR="00000000" w:rsidRPr="00000000">
        <w:rPr>
          <w:b w:val="1"/>
          <w:bCs w:val="1"/>
          <w:rtl w:val="0"/>
        </w:rPr>
        <w:t xml:space="preserve">менее 2000 мг</w:t>
      </w:r>
      <w:r w:rsidDel="00000000" w:rsidR="00000000" w:rsidRPr="00000000">
        <w:rPr>
          <w:rtl w:val="0"/>
        </w:rPr>
        <w:t xml:space="preserve"> (5 г поваренной соли) в сутки для взрослых.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Приготовление:</w:t>
      </w:r>
      <w:r w:rsidDel="00000000" w:rsidR="00000000" w:rsidRPr="00000000">
        <w:rPr>
          <w:rtl w:val="0"/>
        </w:rPr>
        <w:t xml:space="preserve"> Минимизация времени термической обработки для сохранения водорастворимых кофакторов.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812b1y7nw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Справочные таблицы норм потребления (DRI/RDA)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Нормы потребления (RDA/EAR) являются научно обоснованными ориентирами, варьирующимися в зависимости от возраста, пола и уровня физической активности.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«So What?»: Метаболический запрос и активность</w:t>
      </w:r>
      <w:r w:rsidDel="00000000" w:rsidR="00000000" w:rsidRPr="00000000">
        <w:rPr>
          <w:rtl w:val="0"/>
        </w:rPr>
        <w:t xml:space="preserve"> Важно понимать, что нормы — это не статические лимиты. Например, при высокой физической активности потребность в витаминах группы B (коферментах) возрастает, так как увеличивается скорость оборота АТФ и общий энергетический обмен.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pg7z6ompz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1: Нормы натрия, калия и клетчатки для взрослых (WHO/DASH)</w:t>
      </w:r>
    </w:p>
    <w:tbl>
      <w:tblPr>
        <w:tblStyle w:val="Table2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299.9708369787113"/>
        <w:gridCol w:w="4197.048702245553"/>
        <w:gridCol w:w="3528.492271799359"/>
        <w:tblGridChange w:id="0">
          <w:tblGrid>
            <w:gridCol w:w="1299.9708369787113"/>
            <w:gridCol w:w="4197.048702245553"/>
            <w:gridCol w:w="3528.49227179935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Рекомендация (на 2000 ккал)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Клиническая цель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Натрий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2000 мг</w:t>
            </w:r>
            <w:r w:rsidDel="00000000" w:rsidR="00000000" w:rsidRPr="00000000">
              <w:rPr>
                <w:rtl w:val="0"/>
              </w:rPr>
              <w:t xml:space="preserve"> (идеально 1500 мг для подростков)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Контроль АД и сосудистого тонуса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Калий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4700 мг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Кардиопротекция, выведение натрия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Клетчатка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 25 г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Здоровье микробиома, детоксикация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up8nr1yh6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2: Возрастные нормы потребления (ВОЗ)</w:t>
      </w:r>
    </w:p>
    <w:tbl>
      <w:tblPr>
        <w:tblStyle w:val="Table3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005.343743796732"/>
        <w:gridCol w:w="6020.168067226891"/>
        <w:tblGridChange w:id="0">
          <w:tblGrid>
            <w:gridCol w:w="3005.343743796732"/>
            <w:gridCol w:w="6020.16806722689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Возрастная группа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Рекомендуемая норма овощей/фруктов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 2–5 лет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250 г / день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 6–9 лет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350 г / день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 г и более (минимум 5 порций)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ejff4ob8x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3: План порций по системе DASH (база 2000 ккал)</w:t>
      </w:r>
    </w:p>
    <w:tbl>
      <w:tblPr>
        <w:tblStyle w:val="Table4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166.915900218356"/>
        <w:gridCol w:w="3858.5959108052675"/>
        <w:tblGridChange w:id="0">
          <w:tblGrid>
            <w:gridCol w:w="5166.915900218356"/>
            <w:gridCol w:w="3858.59591080526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Группа продуктов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Порции в день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Зерновые (преимущественно цельные)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7–8 порций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Овощи и фрукты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 4–5 порций каждой группы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Молочные продукты (нежирные)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порции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Орехи, семена, бобовые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4–5 порций в неделю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профессионального анализа рациона рекомендуется использовать верифицированные базы данных, такие как </w:t>
      </w:r>
      <w:r w:rsidDel="00000000" w:rsidR="00000000" w:rsidRPr="00000000">
        <w:rPr>
          <w:b w:val="1"/>
          <w:bCs w:val="1"/>
          <w:rtl w:val="0"/>
        </w:rPr>
        <w:t xml:space="preserve">USDA FoodData Central</w:t>
      </w:r>
      <w:r w:rsidDel="00000000" w:rsidR="00000000" w:rsidRPr="00000000">
        <w:rPr>
          <w:rtl w:val="0"/>
        </w:rPr>
        <w:t xml:space="preserve">. Специалистам следует ориентироваться на категорию </w:t>
      </w:r>
      <w:r w:rsidDel="00000000" w:rsidR="00000000" w:rsidRPr="00000000">
        <w:rPr>
          <w:b w:val="1"/>
          <w:bCs w:val="1"/>
          <w:rtl w:val="0"/>
        </w:rPr>
        <w:t xml:space="preserve">Foundation Foods</w:t>
      </w:r>
      <w:r w:rsidDel="00000000" w:rsidR="00000000" w:rsidRPr="00000000">
        <w:rPr>
          <w:rtl w:val="0"/>
        </w:rPr>
        <w:t xml:space="preserve"> для получения точных аналитических данных с указанием метаданных и </w:t>
      </w:r>
      <w:r w:rsidDel="00000000" w:rsidR="00000000" w:rsidRPr="00000000">
        <w:rPr>
          <w:b w:val="1"/>
          <w:bCs w:val="1"/>
          <w:rtl w:val="0"/>
        </w:rPr>
        <w:t xml:space="preserve">Предела количественного определения (LOQ)</w:t>
      </w:r>
      <w:r w:rsidDel="00000000" w:rsidR="00000000" w:rsidRPr="00000000">
        <w:rPr>
          <w:rtl w:val="0"/>
        </w:rPr>
        <w:t xml:space="preserve">. В то время как </w:t>
      </w:r>
      <w:r w:rsidDel="00000000" w:rsidR="00000000" w:rsidRPr="00000000">
        <w:rPr>
          <w:b w:val="1"/>
          <w:bCs w:val="1"/>
          <w:rtl w:val="0"/>
        </w:rPr>
        <w:t xml:space="preserve">SR Legacy</w:t>
      </w:r>
      <w:r w:rsidDel="00000000" w:rsidR="00000000" w:rsidRPr="00000000">
        <w:rPr>
          <w:rtl w:val="0"/>
        </w:rPr>
        <w:t xml:space="preserve"> содержит исторические усредненные значения, а </w:t>
      </w:r>
      <w:r w:rsidDel="00000000" w:rsidR="00000000" w:rsidRPr="00000000">
        <w:rPr>
          <w:b w:val="1"/>
          <w:bCs w:val="1"/>
          <w:rtl w:val="0"/>
        </w:rPr>
        <w:t xml:space="preserve">Branded Foods</w:t>
      </w:r>
      <w:r w:rsidDel="00000000" w:rsidR="00000000" w:rsidRPr="00000000">
        <w:rPr>
          <w:rtl w:val="0"/>
        </w:rPr>
        <w:t xml:space="preserve"> — данные от производителей, которые могут быть менее детализированы в части микронутриентного профиля.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