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e91xj9elh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Терапевтическая нутрициология: Клиническое руководство по лечебному питанию для базы данных RAG-бота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6v5853t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Стратегическая роль лечебного питания в клинической практике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современной доказательной медицине диетотерапия рассматривается не как вспомогательный элемент, а как прецизионный инструмент управления хроническими неинфекционными заболеваниями (ХНИЗ). Переход от статических диетических советов к динамическим моделям (DASH, Средиземноморская диета) позволяет модулировать метаболический ответ и поддерживать системный гомеостаз [10, 13, 17].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Фундаментальные принципы нутрициологии базируются на четырех критериях: </w:t>
      </w:r>
      <w:r w:rsidDel="00000000" w:rsidR="00000000" w:rsidRPr="00000000">
        <w:rPr>
          <w:b w:val="1"/>
          <w:bCs w:val="1"/>
          <w:rtl w:val="0"/>
        </w:rPr>
        <w:t xml:space="preserve">адекватность, баланс, умеренность и разнообразие</w:t>
      </w:r>
      <w:r w:rsidDel="00000000" w:rsidR="00000000" w:rsidRPr="00000000">
        <w:rPr>
          <w:rtl w:val="0"/>
        </w:rPr>
        <w:t xml:space="preserve"> [10]. В рамках современных систем поддержки принятия решений эти принципы реализуются через алгоритмы смешанного целочисленного линейного программирования (</w:t>
      </w:r>
      <w:r w:rsidDel="00000000" w:rsidR="00000000" w:rsidRPr="00000000">
        <w:rPr>
          <w:b w:val="1"/>
          <w:bCs w:val="1"/>
          <w:rtl w:val="0"/>
        </w:rPr>
        <w:t xml:space="preserve">MILP</w:t>
      </w:r>
      <w:r w:rsidDel="00000000" w:rsidR="00000000" w:rsidRPr="00000000">
        <w:rPr>
          <w:rtl w:val="0"/>
        </w:rPr>
        <w:t xml:space="preserve">) и алгоритм </w:t>
      </w:r>
      <w:r w:rsidDel="00000000" w:rsidR="00000000" w:rsidRPr="00000000">
        <w:rPr>
          <w:b w:val="1"/>
          <w:bCs w:val="1"/>
          <w:rtl w:val="0"/>
        </w:rPr>
        <w:t xml:space="preserve">Simplex</w:t>
      </w:r>
      <w:r w:rsidDel="00000000" w:rsidR="00000000" w:rsidRPr="00000000">
        <w:rPr>
          <w:rtl w:val="0"/>
        </w:rPr>
        <w:t xml:space="preserve">, которые позволяют оптимизировать рацион, минимизируя отклонения от целевых нутриентов при соблюдении ограничений на непереносимость и разнообразие [23]. Такой технологический подход обеспечивает персонализацию питания на основе биохимических данных [25].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Соблюдение этих принципов является критическим фактором снижения рисков метаболических нарушений, прежде всего — коррекции углеводного обмена.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wmzkjexqp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Сахарный диабет 2 типа: Управление гликемическим профилем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Эффективный метаболический контроль при СД 2 типа направлен на минимизацию постпрандиальных скачков глюкозы. Углеводы должны составлять </w:t>
      </w:r>
      <w:r w:rsidDel="00000000" w:rsidR="00000000" w:rsidRPr="00000000">
        <w:rPr>
          <w:b w:val="1"/>
          <w:bCs w:val="1"/>
          <w:rtl w:val="0"/>
        </w:rPr>
        <w:t xml:space="preserve">45–65%</w:t>
      </w:r>
      <w:r w:rsidDel="00000000" w:rsidR="00000000" w:rsidRPr="00000000">
        <w:rPr>
          <w:rtl w:val="0"/>
        </w:rPr>
        <w:t xml:space="preserve"> от общей калорийности рациона, при этом приоритет отдается продуктам с низким гликемическим индексом (ГИ) и высоким содержанием клетчатки [8, 9].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Аналитическая дифференциация углеводов: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Сложные углеводы:</w:t>
      </w:r>
      <w:r w:rsidDel="00000000" w:rsidR="00000000" w:rsidRPr="00000000">
        <w:rPr>
          <w:rtl w:val="0"/>
        </w:rPr>
        <w:t xml:space="preserve"> Обеспечивают постепенное высвобождение глюкозы, поддерживая стабильный уровень инсулина. Клетчатка (рекомендуемая норма </w:t>
      </w:r>
      <w:r w:rsidDel="00000000" w:rsidR="00000000" w:rsidRPr="00000000">
        <w:rPr>
          <w:b w:val="1"/>
          <w:bCs w:val="1"/>
          <w:rtl w:val="0"/>
        </w:rPr>
        <w:t xml:space="preserve">&gt;25 г/день</w:t>
      </w:r>
      <w:r w:rsidDel="00000000" w:rsidR="00000000" w:rsidRPr="00000000">
        <w:rPr>
          <w:rtl w:val="0"/>
        </w:rPr>
        <w:t xml:space="preserve">) создает механический барьер, замедляющий абсорбцию сахаров в тонком кишечнике [8, 10].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Простые сахара:</w:t>
      </w:r>
      <w:r w:rsidDel="00000000" w:rsidR="00000000" w:rsidRPr="00000000">
        <w:rPr>
          <w:rtl w:val="0"/>
        </w:rPr>
        <w:t xml:space="preserve"> Вызывают резкую гипергликемию. Согласно рекомендациям ВОЗ, свободные сахара должны составлять менее 10% (в идеале &lt;5%) от энергопотребления [10].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5jvx31c5u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Матрица выбора продуктов при диабете 2 типа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28.3515367030736"/>
        <w:gridCol w:w="2529.326898653798"/>
        <w:gridCol w:w="2815.923291846584"/>
        <w:gridCol w:w="2351.9100838201675"/>
        <w:tblGridChange w:id="0">
          <w:tblGrid>
            <w:gridCol w:w="1328.3515367030736"/>
            <w:gridCol w:w="2529.326898653798"/>
            <w:gridCol w:w="2815.923291846584"/>
            <w:gridCol w:w="2351.91008382016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Рекомендуется (Низкий ГИ / Высокая клетчатка)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Запрещено/Ограничено (Простые сахара / Рафинированные)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Обоснование / Источник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Зерновые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Цельнозерновые крупы (овсянка, бурый рис, киноа)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Белый рис, выпечка из очищенной муки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Клетчатка замедляет всасывание [8]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Овощи/Фрукты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Свежие овощи, несладкие фрукты (яблоки, ягоды)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Фруктовые соки, сухофрукты с сахаром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Соки лишены клетчатки, вызывая скачки ГИ [8, 10]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Белки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Бобовые (чечевица, нут), соевые продукты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Сладкие йогурты, глазированные сырки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Растительный белок улучшает гликемию [16, 17]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Контроль углеводов неразрывно связан с липидным профилем, так как диабет часто ассоциирован с артериальной гипертензией.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47wnmjejc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Сердечно-сосудистые заболевания: Протокол DASH и липидный контроль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Диетотерапия при сердечно-сосудистых заболеваниях фокусируется на регуляции артериального давления через баланс натрия, калия и магния, а также на коррекции уровня LDL-холестерина [13, 14].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Липидный и натриевый протокол: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Насыщенные жиры:</w:t>
      </w:r>
      <w:r w:rsidDel="00000000" w:rsidR="00000000" w:rsidRPr="00000000">
        <w:rPr>
          <w:rtl w:val="0"/>
        </w:rPr>
        <w:t xml:space="preserve"> Ограничение до </w:t>
      </w:r>
      <w:r w:rsidDel="00000000" w:rsidR="00000000" w:rsidRPr="00000000">
        <w:rPr>
          <w:b w:val="1"/>
          <w:bCs w:val="1"/>
          <w:rtl w:val="0"/>
        </w:rPr>
        <w:t xml:space="preserve">&lt;10%</w:t>
      </w:r>
      <w:r w:rsidDel="00000000" w:rsidR="00000000" w:rsidRPr="00000000">
        <w:rPr>
          <w:rtl w:val="0"/>
        </w:rPr>
        <w:t xml:space="preserve"> от калорийности (красное мясо, сливочное масло) [9, 10].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Трансжиры:</w:t>
      </w:r>
      <w:r w:rsidDel="00000000" w:rsidR="00000000" w:rsidRPr="00000000">
        <w:rPr>
          <w:rtl w:val="0"/>
        </w:rPr>
        <w:t xml:space="preserve"> Полный отказ (промышленная выпечка, маргарины, гидрогенизированные жиры) [10].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Натрий:</w:t>
      </w:r>
      <w:r w:rsidDel="00000000" w:rsidR="00000000" w:rsidRPr="00000000">
        <w:rPr>
          <w:rtl w:val="0"/>
        </w:rPr>
        <w:t xml:space="preserve"> Ограничение до 2300 мг (5 г соли). Для пациентов с гипертонией целевой уровень — </w:t>
      </w:r>
      <w:r w:rsidDel="00000000" w:rsidR="00000000" w:rsidRPr="00000000">
        <w:rPr>
          <w:b w:val="1"/>
          <w:bCs w:val="1"/>
          <w:rtl w:val="0"/>
        </w:rPr>
        <w:t xml:space="preserve">1500 мг</w:t>
      </w:r>
      <w:r w:rsidDel="00000000" w:rsidR="00000000" w:rsidRPr="00000000">
        <w:rPr>
          <w:rtl w:val="0"/>
        </w:rPr>
        <w:t xml:space="preserve"> [8, 10, 13].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Сравнительная плотность натрия (примеры):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Свежее яблоко: 1–2 мг vs Яблочный пирог (фастфуд): </w:t>
      </w:r>
      <w:r w:rsidDel="00000000" w:rsidR="00000000" w:rsidRPr="00000000">
        <w:rPr>
          <w:b w:val="1"/>
          <w:bCs w:val="1"/>
          <w:rtl w:val="0"/>
        </w:rPr>
        <w:t xml:space="preserve">400 мг</w:t>
      </w:r>
      <w:r w:rsidDel="00000000" w:rsidR="00000000" w:rsidRPr="00000000">
        <w:rPr>
          <w:rtl w:val="0"/>
        </w:rPr>
        <w:t xml:space="preserve"> [8, VM-A].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Свежий картофель: 1–5 мг vs Картофельный салат: </w:t>
      </w:r>
      <w:r w:rsidDel="00000000" w:rsidR="00000000" w:rsidRPr="00000000">
        <w:rPr>
          <w:b w:val="1"/>
          <w:bCs w:val="1"/>
          <w:rtl w:val="0"/>
        </w:rPr>
        <w:t xml:space="preserve">625 мг</w:t>
      </w:r>
      <w:r w:rsidDel="00000000" w:rsidR="00000000" w:rsidRPr="00000000">
        <w:rPr>
          <w:rtl w:val="0"/>
        </w:rPr>
        <w:t xml:space="preserve"> [8, VM-A].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порций диеты DASH (на 2000 ккал/день) [14]: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Зерновые:</w:t>
      </w:r>
      <w:r w:rsidDel="00000000" w:rsidR="00000000" w:rsidRPr="00000000">
        <w:rPr>
          <w:rtl w:val="0"/>
        </w:rPr>
        <w:t xml:space="preserve"> 7–8 порций (преимущественно цельнозерновые).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Овощи:</w:t>
      </w:r>
      <w:r w:rsidDel="00000000" w:rsidR="00000000" w:rsidRPr="00000000">
        <w:rPr>
          <w:rtl w:val="0"/>
        </w:rPr>
        <w:t xml:space="preserve"> 4–5 порций (источники калия и магния).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Фрукты:</w:t>
      </w:r>
      <w:r w:rsidDel="00000000" w:rsidR="00000000" w:rsidRPr="00000000">
        <w:rPr>
          <w:rtl w:val="0"/>
        </w:rPr>
        <w:t xml:space="preserve"> 4–5 порций.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Нежирные молочные продукты:</w:t>
      </w:r>
      <w:r w:rsidDel="00000000" w:rsidR="00000000" w:rsidRPr="00000000">
        <w:rPr>
          <w:rtl w:val="0"/>
        </w:rPr>
        <w:t xml:space="preserve"> 2–3 порции (источник кальция).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Постное мясо/птица/рыба: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≤2 порции.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Орехи, семена, бобовые: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4–5 порций в неделю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Помимо состава нутриентов, при коморбидных состояниях ЖКТ критическим фактором становится метод термической обработки.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xpgk6g8ht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Заболевания ЖКТ: Щадящий режим и триггеры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гастритах, ГЭРБ и СРК рацион строится на принципах механического, химического и термического «щажения» в соответствии с клиническими стандартами РФ (номерные столы) [18].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Принципы диетологического щажения: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Температурный режим:</w:t>
      </w:r>
      <w:r w:rsidDel="00000000" w:rsidR="00000000" w:rsidRPr="00000000">
        <w:rPr>
          <w:rtl w:val="0"/>
        </w:rPr>
        <w:t xml:space="preserve"> Подача блюд строго в диапазоне </w:t>
      </w:r>
      <w:r w:rsidDel="00000000" w:rsidR="00000000" w:rsidRPr="00000000">
        <w:rPr>
          <w:b w:val="1"/>
          <w:bCs w:val="1"/>
          <w:rtl w:val="0"/>
        </w:rPr>
        <w:t xml:space="preserve">15–65°C</w:t>
      </w:r>
      <w:r w:rsidDel="00000000" w:rsidR="00000000" w:rsidRPr="00000000">
        <w:rPr>
          <w:rtl w:val="0"/>
        </w:rPr>
        <w:t xml:space="preserve"> для исключения термического раздражения [18].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Механическая обработка:</w:t>
      </w:r>
      <w:r w:rsidDel="00000000" w:rsidR="00000000" w:rsidRPr="00000000">
        <w:rPr>
          <w:rtl w:val="0"/>
        </w:rPr>
        <w:t xml:space="preserve"> Приоритет отдается отвариванию, приготовлению на пару и протиранию.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Исключение триггеров:</w:t>
      </w:r>
      <w:r w:rsidDel="00000000" w:rsidR="00000000" w:rsidRPr="00000000">
        <w:rPr>
          <w:rtl w:val="0"/>
        </w:rPr>
        <w:t xml:space="preserve"> Острые специи, маринады, жарка во фритюре и грубая клетчатка в сыром виде [18].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qyg6gnula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 по термической обработке и выбору продуктов</w:t>
      </w:r>
    </w:p>
    <w:tbl>
      <w:tblPr>
        <w:tblStyle w:val="Table2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64.5153281651237"/>
        <w:gridCol w:w="3213.1008044396312"/>
        <w:gridCol w:w="3547.8956784188686"/>
        <w:tblGridChange w:id="0">
          <w:tblGrid>
            <w:gridCol w:w="2264.5153281651237"/>
            <w:gridCol w:w="3213.1008044396312"/>
            <w:gridCol w:w="3547.895678418868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Фактор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Рекомендуемые методы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Продукты-триггеры (Исключить)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Термическая обработка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Приготовление на пару, тушение, варка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Жарка с образованием корочки, гриль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Текстура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Пюре, суфле, мелкорубленое мясо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Цельные орехи, сырые овощи с грубой кожей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Вкусовые добавки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Свежие травы (укроп), лимонный сок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Перец чили, уксус, горчица, острые соусы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cge6uogh3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Подагра и гиперурикемия: Диетологические ограничения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подагре диетотерапия направлена на снижение уровня мочевой кислоты. В соответствии с принципами Средиземноморской диеты и рекомендациями Mayo Clinic, акцент смещается на ограничение источников, провоцирующих воспаление и метаболический стресс [16].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Рекомендации по ограничению: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Высокий риск:</w:t>
      </w:r>
      <w:r w:rsidDel="00000000" w:rsidR="00000000" w:rsidRPr="00000000">
        <w:rPr>
          <w:rtl w:val="0"/>
        </w:rPr>
        <w:t xml:space="preserve"> Красное мясо (говядина, баранина, свинина) и продукты его переработки должны потребляться крайне редко [16].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Приоритетные источники белка:</w:t>
      </w:r>
      <w:r w:rsidDel="00000000" w:rsidR="00000000" w:rsidRPr="00000000">
        <w:rPr>
          <w:rtl w:val="0"/>
        </w:rPr>
        <w:t xml:space="preserve"> Рыба (с учетом содержания омега-3), птица в умеренных количествах, бобовые (чечевица, нут, соя) и нежирные молочные продукты [16, 17].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Факторы риска:</w:t>
      </w:r>
      <w:r w:rsidDel="00000000" w:rsidR="00000000" w:rsidRPr="00000000">
        <w:rPr>
          <w:rtl w:val="0"/>
        </w:rPr>
        <w:t xml:space="preserve"> Полное исключение подслащенных сахаром напитков и ограничение соли, которую следует заменять травами и специями [16].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fxxa12k8e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Железодефицитные состояния и анемия: Синергия и биодоступность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Эффективная коррекция анемии требует понимания биохимических форм нутриентов и их взаимодействия.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Биохимические аспекты: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Гемовое vs Негемовое железо:</w:t>
      </w:r>
      <w:r w:rsidDel="00000000" w:rsidR="00000000" w:rsidRPr="00000000">
        <w:rPr>
          <w:rtl w:val="0"/>
        </w:rPr>
        <w:t xml:space="preserve"> Гемовое железо (из красного мяса, печени) обладает высокой биодоступностью. Негемовое железо (шпинат, бобовые) усваивается значительно хуже [7, 8].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Синергия с Витамином C:</w:t>
      </w:r>
      <w:r w:rsidDel="00000000" w:rsidR="00000000" w:rsidRPr="00000000">
        <w:rPr>
          <w:rtl w:val="0"/>
        </w:rPr>
        <w:t xml:space="preserve"> Потребление цитрусовых или клубники одновременно с растительными источниками железа многократно усиливает его всасывание [8, 16].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Терминология:</w:t>
      </w:r>
      <w:r w:rsidDel="00000000" w:rsidR="00000000" w:rsidRPr="00000000">
        <w:rPr>
          <w:rtl w:val="0"/>
        </w:rPr>
        <w:t xml:space="preserve"> Необходимо различать </w:t>
      </w:r>
      <w:r w:rsidDel="00000000" w:rsidR="00000000" w:rsidRPr="00000000">
        <w:rPr>
          <w:b w:val="1"/>
          <w:bCs w:val="1"/>
          <w:rtl w:val="0"/>
        </w:rPr>
        <w:t xml:space="preserve">обогащенные</w:t>
      </w:r>
      <w:r w:rsidDel="00000000" w:rsidR="00000000" w:rsidRPr="00000000">
        <w:rPr>
          <w:rtl w:val="0"/>
        </w:rPr>
        <w:t xml:space="preserve"> продукты (Fortified — добавление нутриентов сверх исходного уровня) и </w:t>
      </w:r>
      <w:r w:rsidDel="00000000" w:rsidR="00000000" w:rsidRPr="00000000">
        <w:rPr>
          <w:b w:val="1"/>
          <w:bCs w:val="1"/>
          <w:rtl w:val="0"/>
        </w:rPr>
        <w:t xml:space="preserve">восстановленные</w:t>
      </w:r>
      <w:r w:rsidDel="00000000" w:rsidR="00000000" w:rsidRPr="00000000">
        <w:rPr>
          <w:rtl w:val="0"/>
        </w:rPr>
        <w:t xml:space="preserve"> (Enriched — замена нутриентов, утраченных при обработке) [8].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4nqrsgay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источники нутриентов при анемии</w:t>
      </w:r>
    </w:p>
    <w:tbl>
      <w:tblPr>
        <w:tblStyle w:val="Table3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367.5017895490337"/>
        <w:gridCol w:w="3536.96225568106"/>
        <w:gridCol w:w="4121.047765793529"/>
        <w:tblGridChange w:id="0">
          <w:tblGrid>
            <w:gridCol w:w="1367.5017895490337"/>
            <w:gridCol w:w="3536.96225568106"/>
            <w:gridCol w:w="4121.04776579352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Нутриент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Продукты-лидеры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Факторы усвоения / Особенности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Железо (Fe)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Субпродукты (печень), красное мясо, чечевица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Витамин C усиливает; танины (чай/кофе) тормозят [8]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Витамин B12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Говядина, морепродукты, яйца, молочные продукты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Критический риск для веганов</w:t>
            </w:r>
            <w:r w:rsidDel="00000000" w:rsidR="00000000" w:rsidRPr="00000000">
              <w:rPr>
                <w:rtl w:val="0"/>
              </w:rPr>
              <w:t xml:space="preserve">; требуется суплементация [8]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Фолаты (B9)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Листовая зелень (шпинат), бобовые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Чувствительны к длительной термической обработке [8]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gi1l55t7e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Остеопороз: Кальциевый обмен и роль Витамина 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Кальций — самый распространенный минерал в организме, 99% которого депонировано в костной ткани [8, 11].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Клинические обоснования: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Абсорбция:</w:t>
      </w:r>
      <w:r w:rsidDel="00000000" w:rsidR="00000000" w:rsidRPr="00000000">
        <w:rPr>
          <w:rtl w:val="0"/>
        </w:rPr>
        <w:t xml:space="preserve"> Кальций не может эффективно усваиваться в кишечнике без адекватного уровня Витамина D [7, 8].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  <w:r w:rsidDel="00000000" w:rsidR="00000000" w:rsidRPr="00000000">
        <w:rPr>
          <w:rtl w:val="0"/>
        </w:rPr>
        <w:t xml:space="preserve"> Жирная рыба (лосось, сардины), молочные продукты и обогащенные напитки [8, 16].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Инсоляция:</w:t>
      </w:r>
      <w:r w:rsidDel="00000000" w:rsidR="00000000" w:rsidRPr="00000000">
        <w:rPr>
          <w:rtl w:val="0"/>
        </w:rPr>
        <w:t xml:space="preserve"> 10–20 минут пребывания на солнце обеспечивают базовый синтез Витамина D, однако рацион остается важным фактором [8].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mpb3gmuk2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Checklist: Ежедневные привычки для здоровья костей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Потребление 2–3 порций молочных или обогащенных кальцием продуктов [14, 16].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Включение жирной рыбы (минимум 2–3 раза в неделю) [16].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Ограничение натрия &lt;2300 мг (избыток соли ускоряет экскрецию кальция) [8].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Поддержание физической активности (минимум 150 мин/неделю) для стимуляции плотности кости [16].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f65djxhi2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Ограничения ответственности и медицинский дисклеймер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ВНИМАНИЕ: Данная информация предназначена исключительно для ознакомительных и образовательных целей. Рекомендации, предоставляемые системой, базируются на общих клинических протоколах и принципах доказательной нутрициологии. Они НЕ являются заменой очной медицинской консультации, диагностики или лечения. Индивидуальные особенности организма, такие как пищевые аллергии, генетические полиморфизмы, острые состояния и сопутствующая фармакотерапия, требуют обязательной коррекции рациона лечащим врачом. Никогда не игнорируйте профессиональные медицинские советы и не откладывайте визит к врачу, полагаясь на информацию из данного руководства.</w:t>
      </w:r>
      <w:r w:rsidDel="00000000" w:rsidR="00000000" w:rsidRPr="00000000">
        <w:rPr>
          <w:rtl w:val="0"/>
        </w:rPr>
        <w:t xml:space="preserve"> [16, 18]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