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5h5ibk4p7d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Спортивное питание и нутритивные добавки: Научно-обоснованное руководство для базы знаний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453e1iiqup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Введение в нутрициологию спортивных достижений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современной спортивной физиологии нутритивная стратегия рассматривается не как пассивное обеспечение организма «топливом», а как прецизионный инструмент управления гомеостазом. Баланс макро- и микронутриентов напрямую модулирует системное воспаление, механизмы коагуляции и экспрессию генов, адаптируя биологический статус атлета к экстремальным нагрузкам. Питание — это биохимический рычаг, позволяющий контролировать метаболический отклик и восстановительный потенциал на молекулярном уровне. Фундаментом этой системы выступает азотистый баланс, обеспечиваемый структурными блоками организма — белками.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yus4sbx4lc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Протеин: Структурная основа и классификация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Белки являются полимерами аминокислот, формирующими архитектуру всех клеточных структур. С точки зрения доказательной медицины, их ценность определяется аминокислотным профилем и биодоступностью.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Аминокислотный состав:</w:t>
      </w:r>
      <w:r w:rsidDel="00000000" w:rsidR="00000000" w:rsidRPr="00000000">
        <w:rPr>
          <w:rtl w:val="0"/>
        </w:rPr>
        <w:t xml:space="preserve"> Из 22 аминокислот 9 являются </w:t>
      </w:r>
      <w:r w:rsidDel="00000000" w:rsidR="00000000" w:rsidRPr="00000000">
        <w:rPr>
          <w:b w:val="1"/>
          <w:bCs w:val="1"/>
          <w:rtl w:val="0"/>
        </w:rPr>
        <w:t xml:space="preserve">незаменимыми (EAA)</w:t>
      </w:r>
      <w:r w:rsidDel="00000000" w:rsidR="00000000" w:rsidRPr="00000000">
        <w:rPr>
          <w:rtl w:val="0"/>
        </w:rPr>
        <w:t xml:space="preserve">. Они не синтезируются </w:t>
      </w:r>
      <w:r w:rsidDel="00000000" w:rsidR="00000000" w:rsidRPr="00000000">
        <w:rPr>
          <w:i w:val="1"/>
          <w:iCs w:val="1"/>
          <w:rtl w:val="0"/>
        </w:rPr>
        <w:t xml:space="preserve">de novo</w:t>
      </w:r>
      <w:r w:rsidDel="00000000" w:rsidR="00000000" w:rsidRPr="00000000">
        <w:rPr>
          <w:rtl w:val="0"/>
        </w:rPr>
        <w:t xml:space="preserve"> и должны поступать с пищей для обеспечения белкового синтеза и репарации ДНК/РНК.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Классификация и эталоны: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Полноценные белки:</w:t>
      </w:r>
      <w:r w:rsidDel="00000000" w:rsidR="00000000" w:rsidRPr="00000000">
        <w:rPr>
          <w:rtl w:val="0"/>
        </w:rPr>
        <w:t xml:space="preserve"> Содержат весь спектр EAA. В нутрициологии </w:t>
      </w:r>
      <w:r w:rsidDel="00000000" w:rsidR="00000000" w:rsidRPr="00000000">
        <w:rPr>
          <w:b w:val="1"/>
          <w:bCs w:val="1"/>
          <w:rtl w:val="0"/>
        </w:rPr>
        <w:t xml:space="preserve">яйца</w:t>
      </w:r>
      <w:r w:rsidDel="00000000" w:rsidR="00000000" w:rsidRPr="00000000">
        <w:rPr>
          <w:rtl w:val="0"/>
        </w:rPr>
        <w:t xml:space="preserve"> приняты за эталон усвояемости и аминокислотного скора, с которым сопоставляются все остальные источники. К этой категории относятся мясо, рыба и молочные продукты. Единственным полноценным растительным источником согласно базам данных является соя.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Неполноценные белки:</w:t>
      </w:r>
      <w:r w:rsidDel="00000000" w:rsidR="00000000" w:rsidRPr="00000000">
        <w:rPr>
          <w:rtl w:val="0"/>
        </w:rPr>
        <w:t xml:space="preserve"> Характеризуются лимитирующими аминокислотами (зерновые, бобовые, орехи).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Биохимическая деградация:</w:t>
      </w:r>
      <w:r w:rsidDel="00000000" w:rsidR="00000000" w:rsidRPr="00000000">
        <w:rPr>
          <w:rtl w:val="0"/>
        </w:rPr>
        <w:t xml:space="preserve"> Термическая обработка до состояния обугливания вызывает </w:t>
      </w:r>
      <w:r w:rsidDel="00000000" w:rsidR="00000000" w:rsidRPr="00000000">
        <w:rPr>
          <w:b w:val="1"/>
          <w:bCs w:val="1"/>
          <w:rtl w:val="0"/>
        </w:rPr>
        <w:t xml:space="preserve">денатурацию</w:t>
      </w:r>
      <w:r w:rsidDel="00000000" w:rsidR="00000000" w:rsidRPr="00000000">
        <w:rPr>
          <w:rtl w:val="0"/>
        </w:rPr>
        <w:t xml:space="preserve"> белков, делая их резистентными к действию пепсина и непригодными для абсорбции.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Дозирование:</w:t>
      </w:r>
      <w:r w:rsidDel="00000000" w:rsidR="00000000" w:rsidRPr="00000000">
        <w:rPr>
          <w:rtl w:val="0"/>
        </w:rPr>
        <w:t xml:space="preserve"> Базовая норма для поддержания гомеостаза составляет </w:t>
      </w:r>
      <w:r w:rsidDel="00000000" w:rsidR="00000000" w:rsidRPr="00000000">
        <w:rPr>
          <w:b w:val="1"/>
          <w:bCs w:val="1"/>
          <w:rtl w:val="0"/>
        </w:rPr>
        <w:t xml:space="preserve">0.8 г/кг массы тела</w:t>
      </w:r>
      <w:r w:rsidDel="00000000" w:rsidR="00000000" w:rsidRPr="00000000">
        <w:rPr>
          <w:rtl w:val="0"/>
        </w:rPr>
        <w:t xml:space="preserve">, однако для атлетов в фазе гипертрофии или интенсивной адаптации этот показатель масштабируется пропорционально метаболическому запросу.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ускорения кинетики аминокислот в кровотоке и преодоления «лейцинового порога» применяются изолированные комплексы.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vemg5cnu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Аминокислотные комплексы (EAA и BCAA): Целесообразность приема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Использование изолированных аминокислот должно быть строго обосновано метаболической скоростью и составом рациона.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EAA (Essential Amino Acids):</w:t>
      </w:r>
      <w:r w:rsidDel="00000000" w:rsidR="00000000" w:rsidRPr="00000000">
        <w:rPr>
          <w:rtl w:val="0"/>
        </w:rPr>
        <w:t xml:space="preserve"> Комплексы всех 9 незаменимых аминокислот критически важны для стимуляции мышечного протеинового синтеза (MPS) и поддержания когнитивных функций.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BCAA (Branch-Chain Amino Acids):</w:t>
      </w:r>
      <w:r w:rsidDel="00000000" w:rsidR="00000000" w:rsidRPr="00000000">
        <w:rPr>
          <w:rtl w:val="0"/>
        </w:rPr>
        <w:t xml:space="preserve"> Критический анализ данных показывает, что при потреблении достаточного количества полноценного животного белка (яйца, говядина, сыворотка), содержащего лейцин, изолейцин и валин в избытке, дополнительный прием BCAA является </w:t>
      </w:r>
      <w:r w:rsidDel="00000000" w:rsidR="00000000" w:rsidRPr="00000000">
        <w:rPr>
          <w:b w:val="1"/>
          <w:bCs w:val="1"/>
          <w:rtl w:val="0"/>
        </w:rPr>
        <w:t xml:space="preserve">избыточным</w:t>
      </w:r>
      <w:r w:rsidDel="00000000" w:rsidR="00000000" w:rsidRPr="00000000">
        <w:rPr>
          <w:rtl w:val="0"/>
        </w:rPr>
        <w:t xml:space="preserve">. Добавка целесообразна только в условиях острого дефицита белка или специфических тренировочных протоколов натощак.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 синтеза тканей мы переходим к обеспечению взрывной мощности через ресинтез энергетических субстратов.</w:t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s81xdnbtn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Креатин: Энергообеспечение и доказанная эффективность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Креатин (метил-гуанидинацетатная кислота) — одна из наиболее верифицированных эргогенных добавок для высокоинтенсивных нагрузок.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Механизм:</w:t>
      </w:r>
      <w:r w:rsidDel="00000000" w:rsidR="00000000" w:rsidRPr="00000000">
        <w:rPr>
          <w:rtl w:val="0"/>
        </w:rPr>
        <w:t xml:space="preserve"> Креатинфосфат обеспечивает мгновенный ресинтез АТФ в мышечных волокнах типа II. Согласно данным </w:t>
      </w:r>
      <w:r w:rsidDel="00000000" w:rsidR="00000000" w:rsidRPr="00000000">
        <w:rPr>
          <w:b w:val="1"/>
          <w:bCs w:val="1"/>
          <w:rtl w:val="0"/>
        </w:rPr>
        <w:t xml:space="preserve">USDA FoodData Central</w:t>
      </w:r>
      <w:r w:rsidDel="00000000" w:rsidR="00000000" w:rsidRPr="00000000">
        <w:rPr>
          <w:rtl w:val="0"/>
        </w:rPr>
        <w:t xml:space="preserve">, значительные концентрации креатина содержатся в красном мясе и рыбе.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Протокол:</w:t>
      </w:r>
      <w:r w:rsidDel="00000000" w:rsidR="00000000" w:rsidRPr="00000000">
        <w:rPr>
          <w:rtl w:val="0"/>
        </w:rPr>
        <w:t xml:space="preserve"> Накопление креатина в мышцах повышает силовую выносливость и гидратацию клеток. Использование моногидрата является «золотым стандартом» благодаря максимальной доказательной базе безопасности и эффективности.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Параллельно с силовыми показателями, липидный обмен определяет долгосрочную устойчивость организма к воспалению.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4erewx3xsu1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Омега-3 и незаменимые жирные кислоты (EFA)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Липиды критически важны для абсорбции жирорастворимых витаминов (A, D, E, K) и структурной целостности мембран.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Эссенциальные жирные кислоты (EFA):</w:t>
      </w:r>
      <w:r w:rsidDel="00000000" w:rsidR="00000000" w:rsidRPr="00000000">
        <w:rPr>
          <w:rtl w:val="0"/>
        </w:rPr>
        <w:t xml:space="preserve"> Человек не способен синтезировать </w:t>
      </w:r>
      <w:r w:rsidDel="00000000" w:rsidR="00000000" w:rsidRPr="00000000">
        <w:rPr>
          <w:b w:val="1"/>
          <w:bCs w:val="1"/>
          <w:rtl w:val="0"/>
        </w:rPr>
        <w:t xml:space="preserve">альфа-линоленовую кислоту (Омега-3)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линолевую кислоту (Омега-6)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Омега-3:</w:t>
      </w:r>
      <w:r w:rsidDel="00000000" w:rsidR="00000000" w:rsidRPr="00000000">
        <w:rPr>
          <w:rtl w:val="0"/>
        </w:rPr>
        <w:t xml:space="preserve"> Источники — жирная рыба (сардины, лосось), льняное масло. Обладают антивоспалительным эффектом и ингибируют атеросклероз.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Омега-6:</w:t>
      </w:r>
      <w:r w:rsidDel="00000000" w:rsidR="00000000" w:rsidRPr="00000000">
        <w:rPr>
          <w:rtl w:val="0"/>
        </w:rPr>
        <w:t xml:space="preserve"> Источники — орехи, семена, растительные масла. Участвуют в регуляции коагуляции и давления.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Терапевтический эффект:</w:t>
      </w:r>
      <w:r w:rsidDel="00000000" w:rsidR="00000000" w:rsidRPr="00000000">
        <w:rPr>
          <w:rtl w:val="0"/>
        </w:rPr>
        <w:t xml:space="preserve"> Мононенасыщенные жирные кислоты (авокадо, оливковое масло) способствуют очищению артерий и снижению системного воспаления.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Трансжиры</w:t>
      </w:r>
      <w:r w:rsidDel="00000000" w:rsidR="00000000" w:rsidRPr="00000000">
        <w:rPr>
          <w:rtl w:val="0"/>
        </w:rPr>
        <w:t xml:space="preserve"> (гидрогенизированные масла) — антропогенные липиды, которые резко повышают уровень ЛПНП («плохого» холестерина) и провоцируют эндотелиальную дисфункцию.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Жировой баланс напрямую влияет на статус микронутриентов, часто находящихся в дефиците у атлетов.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nuc6h3kbll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Витамин D и Магний: Критические дефициты у спортсменов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микронутриенты являются регуляторами сотен ферментативных реакций и гормонального фона.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Витамин D (Кальциферол):</w:t>
      </w:r>
      <w:r w:rsidDel="00000000" w:rsidR="00000000" w:rsidRPr="00000000">
        <w:rPr>
          <w:rtl w:val="0"/>
        </w:rPr>
        <w:t xml:space="preserve"> Регулирует абсорбцию кальция, минерализацию костей и иммунный ответ. В условиях низкой инсоляции необходима фортификация рациона через продукты категории </w:t>
      </w:r>
      <w:r w:rsidDel="00000000" w:rsidR="00000000" w:rsidRPr="00000000">
        <w:rPr>
          <w:b w:val="1"/>
          <w:bCs w:val="1"/>
          <w:rtl w:val="0"/>
        </w:rPr>
        <w:t xml:space="preserve">Foundation Foods</w:t>
      </w:r>
      <w:r w:rsidDel="00000000" w:rsidR="00000000" w:rsidRPr="00000000">
        <w:rPr>
          <w:rtl w:val="0"/>
        </w:rPr>
        <w:t xml:space="preserve"> (говяжья печень, яичные желтки) или добавки.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Магний:</w:t>
      </w:r>
      <w:r w:rsidDel="00000000" w:rsidR="00000000" w:rsidRPr="00000000">
        <w:rPr>
          <w:rtl w:val="0"/>
        </w:rPr>
        <w:t xml:space="preserve"> Необходим для поддержания регулярного сердечного ритма, нервно-мышечной передачи и синтеза АТФ. Основные источники — листовая зелень, бобовые и цельные злаки. Дефицит ведет к судорогам и снижению аэробной мощности.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Для кратковременной модуляции работоспособности ЦНС используются изученные стимуляторы.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0geinst6cy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Кофеин и его влияние на тренировочный процесс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Кофеин — наиболее изученное эргогенное средство с прямым воздействием на аденозиновые рецепторы.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Эффекты:</w:t>
      </w:r>
      <w:r w:rsidDel="00000000" w:rsidR="00000000" w:rsidRPr="00000000">
        <w:rPr>
          <w:rtl w:val="0"/>
        </w:rPr>
        <w:t xml:space="preserve"> Повышает ментальный фокус, снижает восприятие нагрузки (RPE) и оптимизирует использование гликогена.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Риски:</w:t>
      </w:r>
      <w:r w:rsidDel="00000000" w:rsidR="00000000" w:rsidRPr="00000000">
        <w:rPr>
          <w:rtl w:val="0"/>
        </w:rPr>
        <w:t xml:space="preserve"> Избыточное потребление может нарушить электролитный баланс и спровоцировать сердечную аритмию. Рекомендуется сочетать с адекватным потреблением глюкозы для обеспечения работы мозга и эритроцитов.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При изобилии предложений на рынке, важно отсекать средства без аналитической прозрачности.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kgctfjm28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Добавки с недоказанной или низкой эффективностью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доказательной нутрициологии золотым стандартом верификации планов питания являются методы </w:t>
      </w:r>
      <w:r w:rsidDel="00000000" w:rsidR="00000000" w:rsidRPr="00000000">
        <w:rPr>
          <w:b w:val="1"/>
          <w:bCs w:val="1"/>
          <w:rtl w:val="0"/>
        </w:rPr>
        <w:t xml:space="preserve">смешанного целочисленного линейного программирования (MILP)</w:t>
      </w:r>
      <w:r w:rsidDel="00000000" w:rsidR="00000000" w:rsidRPr="00000000">
        <w:rPr>
          <w:rtl w:val="0"/>
        </w:rPr>
        <w:t xml:space="preserve"> и </w:t>
      </w:r>
      <w:r w:rsidDel="00000000" w:rsidR="00000000" w:rsidRPr="00000000">
        <w:rPr>
          <w:b w:val="1"/>
          <w:bCs w:val="1"/>
          <w:rtl w:val="0"/>
        </w:rPr>
        <w:t xml:space="preserve">генетические алгоритмы</w:t>
      </w:r>
      <w:r w:rsidDel="00000000" w:rsidR="00000000" w:rsidRPr="00000000">
        <w:rPr>
          <w:rtl w:val="0"/>
        </w:rPr>
        <w:t xml:space="preserve">. Добавка считается неэффективной, если: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Она отсутствует в категории </w:t>
      </w:r>
      <w:r w:rsidDel="00000000" w:rsidR="00000000" w:rsidRPr="00000000">
        <w:rPr>
          <w:b w:val="1"/>
          <w:bCs w:val="1"/>
          <w:rtl w:val="0"/>
        </w:rPr>
        <w:t xml:space="preserve">USDA Foundation Foods</w:t>
      </w:r>
      <w:r w:rsidDel="00000000" w:rsidR="00000000" w:rsidRPr="00000000">
        <w:rPr>
          <w:rtl w:val="0"/>
        </w:rPr>
        <w:t xml:space="preserve">, которая предоставляет глубокие метаданные (методы анализа, количество образцов).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Концентрация активного вещества находится ниже </w:t>
      </w:r>
      <w:r w:rsidDel="00000000" w:rsidR="00000000" w:rsidRPr="00000000">
        <w:rPr>
          <w:b w:val="1"/>
          <w:bCs w:val="1"/>
          <w:rtl w:val="0"/>
        </w:rPr>
        <w:t xml:space="preserve">предела количественного определения (LOQ)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Отсутствуют клинические подтверждения влияния на Daily Recommended Intake (RDI).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Многие брендированные «жиросжигатели» и «тестобустеры» часто не проходят тест на аналитическую точность. В противовес им, такие стратегии как </w:t>
      </w:r>
      <w:r w:rsidDel="00000000" w:rsidR="00000000" w:rsidRPr="00000000">
        <w:rPr>
          <w:b w:val="1"/>
          <w:bCs w:val="1"/>
          <w:rtl w:val="0"/>
        </w:rPr>
        <w:t xml:space="preserve">диета DASH</w:t>
      </w:r>
      <w:r w:rsidDel="00000000" w:rsidR="00000000" w:rsidRPr="00000000">
        <w:rPr>
          <w:rtl w:val="0"/>
        </w:rPr>
        <w:t xml:space="preserve">, демонстрируют клинически значимое снижение давления всего за </w:t>
      </w:r>
      <w:r w:rsidDel="00000000" w:rsidR="00000000" w:rsidRPr="00000000">
        <w:rPr>
          <w:b w:val="1"/>
          <w:bCs w:val="1"/>
          <w:rtl w:val="0"/>
        </w:rPr>
        <w:t xml:space="preserve">14 дней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o8amjdm4cj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Стратегия питания: До, во время и после тренировки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Тайминг нутриентов оптимизирует гликогеновое депо и электролитный статус.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До:</w:t>
      </w:r>
      <w:r w:rsidDel="00000000" w:rsidR="00000000" w:rsidRPr="00000000">
        <w:rPr>
          <w:rtl w:val="0"/>
        </w:rPr>
        <w:t xml:space="preserve"> Приоритет сложных углеводов для обеспечения глюкозой ЦНС и эритроцитов.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 время:</w:t>
      </w:r>
      <w:r w:rsidDel="00000000" w:rsidR="00000000" w:rsidRPr="00000000">
        <w:rPr>
          <w:rtl w:val="0"/>
        </w:rPr>
        <w:t xml:space="preserve"> Контроль </w:t>
      </w:r>
      <w:r w:rsidDel="00000000" w:rsidR="00000000" w:rsidRPr="00000000">
        <w:rPr>
          <w:b w:val="1"/>
          <w:bCs w:val="1"/>
          <w:rtl w:val="0"/>
        </w:rPr>
        <w:t xml:space="preserve">натрия</w:t>
      </w:r>
      <w:r w:rsidDel="00000000" w:rsidR="00000000" w:rsidRPr="00000000">
        <w:rPr>
          <w:rtl w:val="0"/>
        </w:rPr>
        <w:t xml:space="preserve">. При среднем потреблении 2300–4700 мг, атлету необходимо стремиться к порогу в </w:t>
      </w:r>
      <w:r w:rsidDel="00000000" w:rsidR="00000000" w:rsidRPr="00000000">
        <w:rPr>
          <w:b w:val="1"/>
          <w:bCs w:val="1"/>
          <w:rtl w:val="0"/>
        </w:rPr>
        <w:t xml:space="preserve">1500 мг</w:t>
      </w:r>
      <w:r w:rsidDel="00000000" w:rsidR="00000000" w:rsidRPr="00000000">
        <w:rPr>
          <w:rtl w:val="0"/>
        </w:rPr>
        <w:t xml:space="preserve"> (ок. 3/4 ч. л. соли) для профилактики гипертензии и отеков, если нет экстремальных потерь с потом.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После:</w:t>
      </w:r>
      <w:r w:rsidDel="00000000" w:rsidR="00000000" w:rsidRPr="00000000">
        <w:rPr>
          <w:rtl w:val="0"/>
        </w:rPr>
        <w:t xml:space="preserve"> Белково-углеводное восстановление и компенсация жидкости.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Водный баланс:</w:t>
      </w:r>
      <w:r w:rsidDel="00000000" w:rsidR="00000000" w:rsidRPr="00000000">
        <w:rPr>
          <w:rtl w:val="0"/>
        </w:rPr>
        <w:t xml:space="preserve"> Человек способен существовать без воды не более </w:t>
      </w:r>
      <w:r w:rsidDel="00000000" w:rsidR="00000000" w:rsidRPr="00000000">
        <w:rPr>
          <w:b w:val="1"/>
          <w:bCs w:val="1"/>
          <w:rtl w:val="0"/>
        </w:rPr>
        <w:t xml:space="preserve">4 дней</w:t>
      </w:r>
      <w:r w:rsidDel="00000000" w:rsidR="00000000" w:rsidRPr="00000000">
        <w:rPr>
          <w:rtl w:val="0"/>
        </w:rPr>
        <w:t xml:space="preserve">. Рекомендованная норма — </w:t>
      </w:r>
      <w:r w:rsidDel="00000000" w:rsidR="00000000" w:rsidRPr="00000000">
        <w:rPr>
          <w:b w:val="1"/>
          <w:bCs w:val="1"/>
          <w:rtl w:val="0"/>
        </w:rPr>
        <w:t xml:space="preserve">6–8 чашек (1.5–2 л) в день</w:t>
      </w:r>
      <w:r w:rsidDel="00000000" w:rsidR="00000000" w:rsidRPr="00000000">
        <w:rPr>
          <w:rtl w:val="0"/>
        </w:rPr>
        <w:t xml:space="preserve">. Вода критична для терморегуляции и удаления продуктов метаболического распада.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p0an5frluk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Сводная таблица эффективности нутриентов и добавок</w:t>
      </w:r>
    </w:p>
    <w:tbl>
      <w:tblPr>
        <w:tblStyle w:val="Table1"/>
        <w:tblW w:w="9025.511811023624" w:type="dxa"/>
        <w:jc w:val="left"/>
        <w:tblBorders>
          <w:top w:color="808080" w:space="0" w:sz="6" w:val="single"/>
          <w:left w:color="808080" w:space="0" w:sz="6" w:val="single"/>
          <w:bottom w:color="808080" w:space="0" w:sz="6" w:val="single"/>
          <w:right w:color="808080" w:space="0" w:sz="6" w:val="single"/>
          <w:insideH w:color="808080" w:space="0" w:sz="6" w:val="single"/>
          <w:insideV w:color="808080" w:space="0" w:sz="6" w:val="single"/>
        </w:tblBorders>
        <w:tblLayout w:type="fixed"/>
        <w:tblLook w:val="0600"/>
      </w:tblPr>
      <w:tblGrid>
        <w:gridCol w:w="1833.3070866141734"/>
        <w:gridCol w:w="1355.6464312928629"/>
        <w:gridCol w:w="3102.51968503937"/>
        <w:gridCol w:w="2734.0386080772164"/>
        <w:tblGridChange w:id="0">
          <w:tblGrid>
            <w:gridCol w:w="1833.3070866141734"/>
            <w:gridCol w:w="1355.6464312928629"/>
            <w:gridCol w:w="3102.51968503937"/>
            <w:gridCol w:w="2734.0386080772164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Наименование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Уровень док-ти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Биохимическая функция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Рекомендация по источнику (USDA Тип)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Белок (Протеин)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Пластическая функция, азотистый баланс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Яйца, Говядина (Foundation Foods)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Креатин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Ресинтез АТФ, взрывная мощь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Красное мясо (Foundation Foods) / БАД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Омега-3 (ALA)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Ингибирование атеросклероза, мембраны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Сардины, Лосось, Льняное масло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Витамин D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Рост костей, иммуномодуляция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Говяжья печень, Желтки / БАД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Магний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Регуляция ритма, кофактор 300+ ферментов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Листовая зелень, Семена (Foundation)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Кофеин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Антагонист аденозина, фокус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Натуральный кофе / БАД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Сложные углеводы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Высокий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Синтез гликогена, питание ЦНС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Цельные злаки, Овощи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Трансжиры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Отрицат.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Повреждение эндотелия, рост ЛПНП</w:t>
            </w:r>
          </w:p>
        </w:tc>
        <w:tc>
          <w:tcPr>
            <w:tcBorders>
              <w:top w:color="808080" w:space="0" w:sz="6" w:val="single"/>
              <w:left w:color="808080" w:space="0" w:sz="6" w:val="single"/>
              <w:bottom w:color="808080" w:space="0" w:sz="6" w:val="single"/>
              <w:right w:color="80808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Исключить</w:t>
            </w:r>
            <w:r w:rsidDel="00000000" w:rsidR="00000000" w:rsidRPr="00000000">
              <w:rPr>
                <w:rtl w:val="0"/>
              </w:rPr>
              <w:t xml:space="preserve"> (Branded Foods / Фастфуд)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