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qqvgbs9fw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Похудение и набор мышечной массы: Научно-обоснованное руководство для систем планирования питания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vfmkd30se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Физиологические основы похудения и энергетического баланса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архитектуре систем планирования питания энергетический баланс является первичным ограничением, определяющим вектор метаболических изменений. С точки зрения термодинамики организма, управление весом представляет собой баланс между экзогенным поступлением энергии и её эндогенными тратами. Углеводы выполняют роль оперативного топлива, обеспечивая гомеостаз глюкозы для функционирования ЦНС и эритроцитов, в то время как липиды формируют энергетическое депо с высокой плотностью хранения.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Отрицательный энергетический баланс (дефицит калорий) инициирует липолиз и окисление жирных кислот для компенсации нехватки внешних ресурсов. Однако радикальное ограничение калорийности (VLCD) ведет к деградации метаболически активных тканей и резкому снижению адаптивного термогенеза. Безопасные темпы снижения веса должны быть интегрированы в алгоритмы как динамические переменные, предотвращающие «голодный» отклик. Эффективное похудение — это не механическая редукция объема пищи, а программирование метаболического отклика через управление гликемическим контролем и сохранение азотистого баланса.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1uld91a00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Определение оптимального дефицита и алгоритмизация планирования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Математическая точность в нутрициологии критична для обеспечения комплаенса (соблюдения режима). Современные системы (например, на базе MILP — смешанного целочисленного линейного программирования) должны использовать расчет дефицита в диапазоне </w:t>
      </w:r>
      <w:r w:rsidDel="00000000" w:rsidR="00000000" w:rsidRPr="00000000">
        <w:rPr>
          <w:b w:val="1"/>
          <w:bCs w:val="1"/>
          <w:rtl w:val="0"/>
        </w:rPr>
        <w:t xml:space="preserve">300–500 ккал</w:t>
      </w:r>
      <w:r w:rsidDel="00000000" w:rsidR="00000000" w:rsidRPr="00000000">
        <w:rPr>
          <w:rtl w:val="0"/>
        </w:rPr>
        <w:t xml:space="preserve"> от уровня поддержки (TDEE). Этот коридор минимизирует постпрандиальную вариабельность глюкозы и предотвращает гиперсекрецию грелина.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Системные константы и ограничения: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Баланс макронутриентов:</w:t>
      </w:r>
      <w:r w:rsidDel="00000000" w:rsidR="00000000" w:rsidRPr="00000000">
        <w:rPr>
          <w:rtl w:val="0"/>
        </w:rPr>
        <w:t xml:space="preserve"> Алгоритм должен распределять нутриенты в пропорциях: </w:t>
      </w:r>
      <w:r w:rsidDel="00000000" w:rsidR="00000000" w:rsidRPr="00000000">
        <w:rPr>
          <w:b w:val="1"/>
          <w:bCs w:val="1"/>
          <w:rtl w:val="0"/>
        </w:rPr>
        <w:t xml:space="preserve">45–65% углеводов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20–35% жиров</w:t>
      </w:r>
      <w:r w:rsidDel="00000000" w:rsidR="00000000" w:rsidRPr="00000000">
        <w:rPr>
          <w:rtl w:val="0"/>
        </w:rPr>
        <w:t xml:space="preserve"> (согласно ВОЗ и Институту медицины).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Микронутриентные фильтры:</w:t>
      </w:r>
      <w:r w:rsidDel="00000000" w:rsidR="00000000" w:rsidRPr="00000000">
        <w:rPr>
          <w:rtl w:val="0"/>
        </w:rPr>
        <w:t xml:space="preserve"> Содержание клетчатки (пищевых волокон) должно составлять </w:t>
      </w:r>
      <w:r w:rsidDel="00000000" w:rsidR="00000000" w:rsidRPr="00000000">
        <w:rPr>
          <w:b w:val="1"/>
          <w:bCs w:val="1"/>
          <w:rtl w:val="0"/>
        </w:rPr>
        <w:t xml:space="preserve">не менее 25 г/день</w:t>
      </w:r>
      <w:r w:rsidDel="00000000" w:rsidR="00000000" w:rsidRPr="00000000">
        <w:rPr>
          <w:rtl w:val="0"/>
        </w:rPr>
        <w:t xml:space="preserve">. Свободные сахара жестко ограничиваются лимитом </w:t>
      </w:r>
      <w:r w:rsidDel="00000000" w:rsidR="00000000" w:rsidRPr="00000000">
        <w:rPr>
          <w:b w:val="1"/>
          <w:bCs w:val="1"/>
          <w:rtl w:val="0"/>
        </w:rPr>
        <w:t xml:space="preserve">&lt;10%</w:t>
      </w:r>
      <w:r w:rsidDel="00000000" w:rsidR="00000000" w:rsidRPr="00000000">
        <w:rPr>
          <w:rtl w:val="0"/>
        </w:rPr>
        <w:t xml:space="preserve"> (в идеале &lt;5% для метаболических преимуществ).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Клинические модели:</w:t>
      </w:r>
      <w:r w:rsidDel="00000000" w:rsidR="00000000" w:rsidRPr="00000000">
        <w:rPr>
          <w:rtl w:val="0"/>
        </w:rPr>
        <w:t xml:space="preserve"> При проектировании рациона рекомендуется опираться на модель </w:t>
      </w:r>
      <w:r w:rsidDel="00000000" w:rsidR="00000000" w:rsidRPr="00000000">
        <w:rPr>
          <w:b w:val="1"/>
          <w:bCs w:val="1"/>
          <w:rtl w:val="0"/>
        </w:rPr>
        <w:t xml:space="preserve">DASH</w:t>
      </w:r>
      <w:r w:rsidDel="00000000" w:rsidR="00000000" w:rsidRPr="00000000">
        <w:rPr>
          <w:rtl w:val="0"/>
        </w:rPr>
        <w:t xml:space="preserve"> (7–8 порций зерновых, 4–5 порций овощей и фруктов на 2000 ккал) или </w:t>
      </w:r>
      <w:r w:rsidDel="00000000" w:rsidR="00000000" w:rsidRPr="00000000">
        <w:rPr>
          <w:b w:val="1"/>
          <w:bCs w:val="1"/>
          <w:rtl w:val="0"/>
        </w:rPr>
        <w:t xml:space="preserve">Средиземноморскую диету</w:t>
      </w:r>
      <w:r w:rsidDel="00000000" w:rsidR="00000000" w:rsidRPr="00000000">
        <w:rPr>
          <w:rtl w:val="0"/>
        </w:rPr>
        <w:t xml:space="preserve">, где основным источником липидов выступает оливковое масло Extra Virgin.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gt95uwggz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Метаболическая адаптация и вычислительные методы преодоления «плато»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Метаболическая адаптация — это эволюционный механизм выживания, характеризующийся снижением скорости базового обмена веществ (BMR) и изменением гормонального профиля (снижение лептина, Т3). В системах планирования эффект «плато» должен обрабатываться не просто сокращением калорий, а пересчетом параметров.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Технологические стратегии: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Динамическая рекалькуляция:</w:t>
      </w:r>
      <w:r w:rsidDel="00000000" w:rsidR="00000000" w:rsidRPr="00000000">
        <w:rPr>
          <w:rtl w:val="0"/>
        </w:rPr>
        <w:t xml:space="preserve"> Использование API (например, USDA FoodData Central) для регулярного обновления BMR на основе изменения состава тела.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MILP и алгоритм Симплекса:</w:t>
      </w:r>
      <w:r w:rsidDel="00000000" w:rsidR="00000000" w:rsidRPr="00000000">
        <w:rPr>
          <w:rtl w:val="0"/>
        </w:rPr>
        <w:t xml:space="preserve"> Программные решатели (PuLP, SciPy) позволяют оптимизировать рацион с учетом «ограничений по невоспроизведению» (non-repetition constraints), предотвращая диетическую монотонность и поддерживая микронутриентную плотность.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Клинический контроль:</w:t>
      </w:r>
      <w:r w:rsidDel="00000000" w:rsidR="00000000" w:rsidRPr="00000000">
        <w:rPr>
          <w:rtl w:val="0"/>
        </w:rPr>
        <w:t xml:space="preserve"> В лечебном питании РФ (Приказ № 1008Н) учитывается даже температурный режим блюд (</w:t>
      </w:r>
      <w:r w:rsidDel="00000000" w:rsidR="00000000" w:rsidRPr="00000000">
        <w:rPr>
          <w:b w:val="1"/>
          <w:bCs w:val="1"/>
          <w:rtl w:val="0"/>
        </w:rPr>
        <w:t xml:space="preserve">15–65°C</w:t>
      </w:r>
      <w:r w:rsidDel="00000000" w:rsidR="00000000" w:rsidRPr="00000000">
        <w:rPr>
          <w:rtl w:val="0"/>
        </w:rPr>
        <w:t xml:space="preserve">) для снижения термического раздражения и оптимизации пищеварения.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z4p8rxhyy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Азотистый баланс и критическая роль белка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Белок — основной детерминант сохранения мышечной ткани в условиях катаболизма. В условиях дефицита энергии потребность в нем возрастает выше стандартных 0.8 г/кг для поддержания положительного азотистого баланса.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Биохимические аспекты: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Аминокислотный профиль:</w:t>
      </w:r>
      <w:r w:rsidDel="00000000" w:rsidR="00000000" w:rsidRPr="00000000">
        <w:rPr>
          <w:rtl w:val="0"/>
        </w:rPr>
        <w:t xml:space="preserve"> Белки состоят из 22 аминокислот, из которых </w:t>
      </w:r>
      <w:r w:rsidDel="00000000" w:rsidR="00000000" w:rsidRPr="00000000">
        <w:rPr>
          <w:b w:val="1"/>
          <w:bCs w:val="1"/>
          <w:rtl w:val="0"/>
        </w:rPr>
        <w:t xml:space="preserve">9 являются незаменимыми</w:t>
      </w:r>
      <w:r w:rsidDel="00000000" w:rsidR="00000000" w:rsidRPr="00000000">
        <w:rPr>
          <w:rtl w:val="0"/>
        </w:rPr>
        <w:t xml:space="preserve">. Системы планирования должны приоритезировать «полные» белки (животного происхождения, соя) или комбинировать «неполные» (рис + бобовые) для формирования полного профиля.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Термический эффект (TEF):</w:t>
      </w:r>
      <w:r w:rsidDel="00000000" w:rsidR="00000000" w:rsidRPr="00000000">
        <w:rPr>
          <w:rtl w:val="0"/>
        </w:rPr>
        <w:t xml:space="preserve"> Высокое потребление белка повышает общий расход энергии на переваривание.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Предупреждение денатурации:</w:t>
      </w:r>
      <w:r w:rsidDel="00000000" w:rsidR="00000000" w:rsidRPr="00000000">
        <w:rPr>
          <w:rtl w:val="0"/>
        </w:rPr>
        <w:t xml:space="preserve"> Важно учитывать способ кулинарной обработки. Обугленный (charred) белок теряет биологическую ценность и становится непищепригодным.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01vkjuob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Физиология гипертрофии и контролируемый профицит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Синтез мышечных белков требует положительного энергетического статуса. Однако избыточный профицит («dirty bulking») ведет к инсулинорезистентности и накоплению висцерального жира.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Рекомендации по качественному набору (Lean Bulking):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Источники энергии:</w:t>
      </w:r>
      <w:r w:rsidDel="00000000" w:rsidR="00000000" w:rsidRPr="00000000">
        <w:rPr>
          <w:rtl w:val="0"/>
        </w:rPr>
        <w:t xml:space="preserve"> Основной упор на сложные углеводы (крахмалы, цельные злаки) и мононенасыщенные жиры (авокадо, орехи).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Инсулиновый контроль:</w:t>
      </w:r>
      <w:r w:rsidDel="00000000" w:rsidR="00000000" w:rsidRPr="00000000">
        <w:rPr>
          <w:rtl w:val="0"/>
        </w:rPr>
        <w:t xml:space="preserve"> Ограничение свободных сахаров (&lt;10% калорийности) необходимо для минимизации липогенеза.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Модель DASH для атлетов:</w:t>
      </w:r>
      <w:r w:rsidDel="00000000" w:rsidR="00000000" w:rsidRPr="00000000">
        <w:rPr>
          <w:rtl w:val="0"/>
        </w:rPr>
        <w:t xml:space="preserve"> Обеспечение высокого содержания магния и калия через овощи и фрукты (4–5 порций каждой группы) способствует оптимальному сокращению мышц и восстановлению.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tjxwq27m7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Биологические лимиты и темпы прогресса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Скорость синтеза мышечного белка лимитирована генетически и физиологически. Спешка в наборе массы дестабилизирует липидный профиль.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sh215kva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Таблица-ориентир для систем автоматизации (Темп набора vs Риски)</w:t>
      </w:r>
    </w:p>
    <w:tbl>
      <w:tblPr>
        <w:tblStyle w:val="Table1"/>
        <w:tblW w:w="9025.511811023624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637.0836978710995"/>
        <w:gridCol w:w="2135.6663750364537"/>
        <w:gridCol w:w="4252.761738116069"/>
        <w:tblGridChange w:id="0">
          <w:tblGrid>
            <w:gridCol w:w="2637.0836978710995"/>
            <w:gridCol w:w="2135.6663750364537"/>
            <w:gridCol w:w="4252.761738116069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Уровень тренированности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Целевой набор (мес)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Ограничения системы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Новичок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~1.0 кг (1.5% веса)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Акцент на Foundation Foods USDA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Продвинутый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~0.5 кг (0.5–1% веса)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Жесткий контроль насыщенных жиров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Мастер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&lt;0.25 кг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Максимальная микронутриентная плотность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Техническое примечание:</w:t>
      </w:r>
      <w:r w:rsidDel="00000000" w:rsidR="00000000" w:rsidRPr="00000000">
        <w:rPr>
          <w:rtl w:val="0"/>
        </w:rPr>
        <w:t xml:space="preserve"> Для разработчиков баз данных критично разделение данных USDA на </w:t>
      </w:r>
      <w:r w:rsidDel="00000000" w:rsidR="00000000" w:rsidRPr="00000000">
        <w:rPr>
          <w:b w:val="1"/>
          <w:bCs w:val="1"/>
          <w:rtl w:val="0"/>
        </w:rPr>
        <w:t xml:space="preserve">Foundation Foods</w:t>
      </w:r>
      <w:r w:rsidDel="00000000" w:rsidR="00000000" w:rsidRPr="00000000">
        <w:rPr>
          <w:rtl w:val="0"/>
        </w:rPr>
        <w:t xml:space="preserve"> (прозрачная методология, глубокие метаданные) и </w:t>
      </w:r>
      <w:r w:rsidDel="00000000" w:rsidR="00000000" w:rsidRPr="00000000">
        <w:rPr>
          <w:b w:val="1"/>
          <w:bCs w:val="1"/>
          <w:rtl w:val="0"/>
        </w:rPr>
        <w:t xml:space="preserve">SR Legacy</w:t>
      </w:r>
      <w:r w:rsidDel="00000000" w:rsidR="00000000" w:rsidRPr="00000000">
        <w:rPr>
          <w:rtl w:val="0"/>
        </w:rPr>
        <w:t xml:space="preserve"> (статистические архивные данные, не обновляемые с 2018 года). Приоритет следует отдавать Foundation Foods для повышения точности расчетов.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pwh7288ez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Рекомпозиция тела: Вычислительная сложность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Рекомпозиция (одновременный рост мышц и окисление жира) требует прецизионного управления нутриентами. Это возможно для лиц с высоким индексом массы тела (ИМТ) или новичков, где жировые депо используются как эндогенный ресурс для анаболических нужд.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Ключевые переменные рекомпозиции: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Белок:</w:t>
      </w:r>
      <w:r w:rsidDel="00000000" w:rsidR="00000000" w:rsidRPr="00000000">
        <w:rPr>
          <w:rtl w:val="0"/>
        </w:rPr>
        <w:t xml:space="preserve"> Повышение до 1.6–2.2 г/кг.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Гидратация:</w:t>
      </w:r>
      <w:r w:rsidDel="00000000" w:rsidR="00000000" w:rsidRPr="00000000">
        <w:rPr>
          <w:rtl w:val="0"/>
        </w:rPr>
        <w:t xml:space="preserve"> Вода составляет &gt;70% объема мягких тканей и критична для транспорта аминокислот.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Алгоритмическая поддержка:</w:t>
      </w:r>
      <w:r w:rsidDel="00000000" w:rsidR="00000000" w:rsidRPr="00000000">
        <w:rPr>
          <w:rtl w:val="0"/>
        </w:rPr>
        <w:t xml:space="preserve"> Использование LLM-фреймворков (типа NutriGen) для декомпозиции сложных блюд и точного учета скрытых нутриентов.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94se15vn8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Научная верификация: Развенчание метаболических мифов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Интеграция доказательной базы позволяет исключить использование неэффективных диетологических паттернов.</w:t>
      </w:r>
    </w:p>
    <w:tbl>
      <w:tblPr>
        <w:tblStyle w:val="Table2"/>
        <w:tblW w:w="9025.511811023624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121.7381160688246"/>
        <w:gridCol w:w="3625.9900845727625"/>
        <w:gridCol w:w="3277.7836103820355"/>
        <w:tblGridChange w:id="0">
          <w:tblGrid>
            <w:gridCol w:w="2121.7381160688246"/>
            <w:gridCol w:w="3625.9900845727625"/>
            <w:gridCol w:w="3277.78361038203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Миф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Физиологическая реальность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Научный факт (Опора на данные)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Углеводы вызывают ожирение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Инсулин — транспортный гормон; жир накапливается только при профиците энергии.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Сложные углеводы (цельное зерно) снижают риск ССЗ и диабета (Mayo Clinic).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Необходим «Детокс»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Печень и почки нейтрализуют токсины 24/7 при наличии адекватных кофакторов.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Клетчатка (&gt;25 г/день) и вода — единственные доказанные инструменты «очистки».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Локальное жиросжигание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Липолиз регулируется системными гормонами (адреналин, кортизол).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Невозможно сжечь жир в одной зоне; необходим общий дефицит (WHO).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Жиры вредны для сердца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Ненасыщенные липиды необходимы для структуры мембран и гормонов.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Замена насыщенных жиров оливковым маслом (DASH/Med) улучшает липидный профиль.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Клинические диеты не для всех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Диетические столы (РФ, 1008Н) — это оптимизированные под патофизиологию рационы.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Соблюдение лечебных норм (соль &lt;5 г/день) критично для долголетия.</w:t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Заключение для разработчиков и нутрициологов:</w:t>
      </w:r>
      <w:r w:rsidDel="00000000" w:rsidR="00000000" w:rsidRPr="00000000">
        <w:rPr>
          <w:rtl w:val="0"/>
        </w:rPr>
        <w:t xml:space="preserve"> Эффективная система планирования должна базироваться на синергии качественных данных (USDA Foundation, Open Food Facts) и математической оптимизации (MILP). Только опора на стандарты ВОЗ и клинически проверенные модели (DASH/Mediterranean) гарантирует достижение целевых показателей состава тела без ущерба для долгосрочного здоровья.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