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DB84E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Стартап службы доставки заказов</w:t>
      </w:r>
    </w:p>
    <w:p w14:paraId="753CD8F4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</w:pPr>
    </w:p>
    <w:p w14:paraId="03E0C90A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Цель</w:t>
      </w: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Представить потоки информации между участниками системы доставки заказов, ее основными процессами, хранилищами данных и внешними сущностями, чтобы понять, как организована и должна работать система.</w:t>
      </w:r>
    </w:p>
    <w:p w14:paraId="59A13C65">
      <w:pPr>
        <w:pStyle w:val="5"/>
        <w:keepNext w:val="0"/>
        <w:keepLines w:val="0"/>
        <w:widowControl/>
        <w:suppressLineNumbers w:val="0"/>
      </w:pPr>
      <w:r>
        <w:rPr>
          <w:rFonts w:ascii="Arial" w:hAnsi="Arial" w:eastAsia="SimSun" w:cs="Arial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Область рассмотрения</w:t>
      </w: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 xml:space="preserve">: </w:t>
      </w:r>
      <w:r>
        <w:rPr>
          <w:rStyle w:val="4"/>
        </w:rPr>
        <w:t>To be</w:t>
      </w:r>
      <w:r>
        <w:t xml:space="preserve"> — проектируемая система (будущая целевая модель, которую хотят реализовать).</w:t>
      </w:r>
    </w:p>
    <w:p w14:paraId="6913E6E0">
      <w:pPr>
        <w:rPr>
          <w:rFonts w:hint="default"/>
          <w:lang w:val="en-US"/>
        </w:rPr>
      </w:pPr>
    </w:p>
    <w:p w14:paraId="07833185">
      <w:pPr>
        <w:rPr>
          <w:rFonts w:hint="default"/>
          <w:lang w:val="en-US"/>
        </w:rPr>
      </w:pPr>
    </w:p>
    <w:p w14:paraId="4B1672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467090" cy="4812665"/>
            <wp:effectExtent l="0" t="0" r="16510" b="13335"/>
            <wp:docPr id="1" name="Picture 1" descr="ex00_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0_DL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6709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792" w:right="720" w:bottom="936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5FFFA786"/>
    <w:rsid w:val="D7ABA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2025-07-03T18:31:00Z</dcterms:created>
  <dc:creator>WPS_1739761383</dc:creator>
  <cp:lastModifiedBy>WPS_1739761383</cp:lastModifiedBy>
  <dcterms:modified xsi:type="dcterms:W3CDTF">2025-07-27T13:26:12Z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