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Потоки данных, направляемые/получаемые внешними системами 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Вход</w:t>
      </w:r>
      <w:r w:rsidDel="00000000" w:rsidR="00000000" w:rsidRPr="00000000">
        <w:rPr>
          <w:rtl w:val="0"/>
        </w:rPr>
        <w:t xml:space="preserve">: Данные о заказах от клиентов; расписание от менеджера.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Выход</w:t>
      </w:r>
      <w:r w:rsidDel="00000000" w:rsidR="00000000" w:rsidRPr="00000000">
        <w:rPr>
          <w:rtl w:val="0"/>
        </w:rPr>
        <w:t xml:space="preserve">: Напоминания в каналы связи; данные об оплате в бухгалтерию; отчёты менеджеру.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