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Роли стейкхолдеров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Клиент</w:t>
      </w:r>
      <w:r w:rsidDel="00000000" w:rsidR="00000000" w:rsidRPr="00000000">
        <w:rPr>
          <w:rtl w:val="0"/>
        </w:rPr>
        <w:t xml:space="preserve">: Записывается, получает услуги, оставляет отзывы.</w:t>
      </w:r>
    </w:p>
    <w:p w:rsidR="00000000" w:rsidDel="00000000" w:rsidP="00000000" w:rsidRDefault="00000000" w:rsidRPr="00000000" w14:paraId="00000004">
      <w:pPr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Мастер</w:t>
      </w:r>
      <w:r w:rsidDel="00000000" w:rsidR="00000000" w:rsidRPr="00000000">
        <w:rPr>
          <w:rtl w:val="0"/>
        </w:rPr>
        <w:t xml:space="preserve">: Выполняет услуги, просматривает расписание.</w:t>
      </w:r>
    </w:p>
    <w:p w:rsidR="00000000" w:rsidDel="00000000" w:rsidP="00000000" w:rsidRDefault="00000000" w:rsidRPr="00000000" w14:paraId="00000005">
      <w:pPr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: Управляет системой, расписанием, оплатой.</w:t>
      </w:r>
    </w:p>
    <w:p w:rsidR="00000000" w:rsidDel="00000000" w:rsidP="00000000" w:rsidRDefault="00000000" w:rsidRPr="00000000" w14:paraId="00000006">
      <w:pPr>
        <w:spacing w:after="180" w:lineRule="auto"/>
        <w:rPr/>
      </w:pPr>
      <w:r w:rsidDel="00000000" w:rsidR="00000000" w:rsidRPr="00000000">
        <w:rPr>
          <w:b w:val="1"/>
          <w:rtl w:val="0"/>
        </w:rPr>
        <w:t xml:space="preserve">Руководство</w:t>
      </w:r>
      <w:r w:rsidDel="00000000" w:rsidR="00000000" w:rsidRPr="00000000">
        <w:rPr>
          <w:rtl w:val="0"/>
        </w:rPr>
        <w:t xml:space="preserve">: косвенный стейкхолдер, получает отчёты, но не участвует в процессах.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