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BLOCKCHAIN IMPLEMENTATION COMPANION</w:t>
      </w:r>
    </w:p>
    <w:p>
      <w:pPr>
        <w:pStyle w:val="Title"/>
      </w:pPr>
      <w:r>
        <w:t>FakeMedia on MultiChain</w:t>
      </w:r>
    </w:p>
    <w:p>
      <w:r>
        <w:t>Architecture, workflow, evidence and reproducibility</w:t>
      </w:r>
    </w:p>
    <w:p>
      <w:r>
        <w:t>Preserved implementation: 2.0.2-mining-check</w:t>
        <w:br/>
        <w:t>MultiChain Community 2.3.3 | Python 3.10+ | Five local processes</w:t>
      </w:r>
    </w:p>
    <w:p>
      <w:pPr>
        <w:pStyle w:val="Heading2"/>
      </w:pPr>
      <w:r>
        <w:t>How to use this companion</w:t>
      </w:r>
    </w:p>
    <w:p>
      <w:r>
        <w:t>Use this reference to understand the code, prepare the live demonstration and write your own implementation report. It is AI-assisted supporting material, not the student-authored report required by the assessment. The editable workbook is supplied separately.</w:t>
      </w:r>
    </w:p>
    <w:p>
      <w:pPr>
        <w:pStyle w:val="Heading2"/>
      </w:pPr>
      <w:r>
        <w:t>What is established</w:t>
      </w:r>
    </w:p>
    <w:tbl>
      <w:tblPr>
        <w:tblW w:type="auto" w:w="0"/>
        <w:jc w:val="center"/>
        <w:tblLayout w:type="fixed"/>
        <w:tblLook w:firstColumn="1" w:firstRow="1" w:lastColumn="0" w:lastRow="0" w:noHBand="0" w:noVBand="1" w:val="04A0"/>
      </w:tblPr>
      <w:tblGrid>
        <w:gridCol w:w="3096"/>
        <w:gridCol w:w="7056"/>
      </w:tblGrid>
      <w:tr>
        <w:trPr>
          <w:cantSplit/>
          <w:tblHeader/>
        </w:trPr>
        <w:tc>
          <w:tcPr>
            <w:tcW w:type="dxa" w:w="3096"/>
            <w:vAlign w:val="center"/>
            <w:tcMar>
              <w:top w:w="85" w:type="dxa"/>
              <w:left w:w="85" w:type="dxa"/>
              <w:bottom w:w="85" w:type="dxa"/>
              <w:right w:w="85" w:type="dxa"/>
            </w:tcMar>
            <w:shd w:fill="E9EEF2"/>
          </w:tcPr>
          <w:p>
            <w:pPr>
              <w:spacing w:after="60" w:before="40"/>
            </w:pPr>
            <w:r>
              <w:rPr>
                <w:b/>
                <w:sz w:val="20"/>
              </w:rPr>
              <w:t>Evidence</w:t>
            </w:r>
          </w:p>
        </w:tc>
        <w:tc>
          <w:tcPr>
            <w:tcW w:type="dxa" w:w="7056"/>
            <w:vAlign w:val="center"/>
            <w:tcMar>
              <w:top w:w="85" w:type="dxa"/>
              <w:left w:w="85" w:type="dxa"/>
              <w:bottom w:w="85" w:type="dxa"/>
              <w:right w:w="85" w:type="dxa"/>
            </w:tcMar>
            <w:shd w:fill="E9EEF2"/>
          </w:tcPr>
          <w:p>
            <w:pPr>
              <w:spacing w:after="60" w:before="40"/>
            </w:pPr>
            <w:r>
              <w:rPr>
                <w:b/>
                <w:sz w:val="20"/>
              </w:rPr>
              <w:t>Supported scope</w:t>
            </w:r>
          </w:p>
        </w:tc>
      </w:tr>
      <w:tr>
        <w:trPr>
          <w:cantSplit/>
        </w:trPr>
        <w:tc>
          <w:tcPr>
            <w:tcW w:type="dxa" w:w="3096"/>
            <w:vAlign w:val="center"/>
            <w:tcMar>
              <w:top w:w="85" w:type="dxa"/>
              <w:left w:w="85" w:type="dxa"/>
              <w:bottom w:w="85" w:type="dxa"/>
              <w:right w:w="85" w:type="dxa"/>
            </w:tcMar>
          </w:tcPr>
          <w:p>
            <w:pPr>
              <w:spacing w:after="60" w:before="40"/>
            </w:pPr>
            <w:r>
              <w:rPr>
                <w:b w:val="0"/>
                <w:sz w:val="20"/>
              </w:rPr>
              <w:t>Provided Windows console log [E1]</w:t>
            </w:r>
          </w:p>
        </w:tc>
        <w:tc>
          <w:tcPr>
            <w:tcW w:type="dxa" w:w="7056"/>
            <w:vAlign w:val="center"/>
            <w:tcMar>
              <w:top w:w="85" w:type="dxa"/>
              <w:left w:w="85" w:type="dxa"/>
              <w:bottom w:w="85" w:type="dxa"/>
              <w:right w:w="85" w:type="dxa"/>
            </w:tcMar>
          </w:tcPr>
          <w:p>
            <w:pPr>
              <w:spacing w:after="60" w:before="40"/>
            </w:pPr>
            <w:r>
              <w:rPr>
                <w:b w:val="0"/>
                <w:sz w:val="20"/>
              </w:rPr>
              <w:t>Successful five-node readiness and native authority CLI queries.</w:t>
            </w:r>
          </w:p>
        </w:tc>
      </w:tr>
      <w:tr>
        <w:trPr>
          <w:cantSplit/>
        </w:trPr>
        <w:tc>
          <w:tcPr>
            <w:tcW w:type="dxa" w:w="3096"/>
            <w:vAlign w:val="center"/>
            <w:tcMar>
              <w:top w:w="85" w:type="dxa"/>
              <w:left w:w="85" w:type="dxa"/>
              <w:bottom w:w="85" w:type="dxa"/>
              <w:right w:w="85" w:type="dxa"/>
            </w:tcMar>
          </w:tcPr>
          <w:p>
            <w:pPr>
              <w:spacing w:after="60" w:before="40"/>
            </w:pPr>
            <w:r>
              <w:rPr>
                <w:b w:val="0"/>
                <w:sz w:val="20"/>
              </w:rPr>
              <w:t>Local package tests [E2]</w:t>
            </w:r>
          </w:p>
        </w:tc>
        <w:tc>
          <w:tcPr>
            <w:tcW w:type="dxa" w:w="7056"/>
            <w:vAlign w:val="center"/>
            <w:tcMar>
              <w:top w:w="85" w:type="dxa"/>
              <w:left w:w="85" w:type="dxa"/>
              <w:bottom w:w="85" w:type="dxa"/>
              <w:right w:w="85" w:type="dxa"/>
            </w:tcMar>
          </w:tcPr>
          <w:p>
            <w:pPr>
              <w:spacing w:after="60" w:before="40"/>
            </w:pPr>
            <w:r>
              <w:rPr>
                <w:b w:val="0"/>
                <w:sz w:val="20"/>
              </w:rPr>
              <w:t>99 Python tests passed. No native MultiChain daemon ran during those tests.</w:t>
            </w:r>
          </w:p>
        </w:tc>
      </w:tr>
      <w:tr>
        <w:trPr>
          <w:cantSplit/>
        </w:trPr>
        <w:tc>
          <w:tcPr>
            <w:tcW w:type="dxa" w:w="3096"/>
            <w:vAlign w:val="center"/>
            <w:tcMar>
              <w:top w:w="85" w:type="dxa"/>
              <w:left w:w="85" w:type="dxa"/>
              <w:bottom w:w="85" w:type="dxa"/>
              <w:right w:w="85" w:type="dxa"/>
            </w:tcMar>
          </w:tcPr>
          <w:p>
            <w:pPr>
              <w:spacing w:after="60" w:before="40"/>
            </w:pPr>
            <w:r>
              <w:rPr>
                <w:b w:val="0"/>
                <w:sz w:val="20"/>
              </w:rPr>
              <w:t>Application/security/load execution</w:t>
            </w:r>
          </w:p>
        </w:tc>
        <w:tc>
          <w:tcPr>
            <w:tcW w:type="dxa" w:w="7056"/>
            <w:vAlign w:val="center"/>
            <w:tcMar>
              <w:top w:w="85" w:type="dxa"/>
              <w:left w:w="85" w:type="dxa"/>
              <w:bottom w:w="85" w:type="dxa"/>
              <w:right w:w="85" w:type="dxa"/>
            </w:tcMar>
          </w:tcPr>
          <w:p>
            <w:pPr>
              <w:spacing w:after="60" w:before="40"/>
            </w:pPr>
            <w:r>
              <w:rPr>
                <w:b w:val="0"/>
                <w:sz w:val="20"/>
              </w:rPr>
              <w:t>Still requires the actual demo, security and benchmark output from the student machine.</w:t>
            </w:r>
          </w:p>
        </w:tc>
      </w:tr>
    </w:tbl>
    <w:p/>
    <w:p>
      <w:r>
        <w:t>The code is a paper-inspired adaptation. It does not reproduce the original Fabric/Composer deployment, 900,000-record dataset or deep reinforcement-learning training. See the mapping and limitations before making any claims.</w:t>
      </w:r>
    </w:p>
    <w:p>
      <w:r>
        <w:t>Reference keys [1]-[8], [C], [E1] and [E2] are defined on the final page and in REFERENCES.md. Figures describe architecture or intended code behavior; they are not execution screenshots. No marks or AI-writing percentage are certified.</w:t>
      </w:r>
    </w:p>
    <w:p>
      <w:r>
        <w:br w:type="page"/>
      </w:r>
    </w:p>
    <w:p>
      <w:pPr>
        <w:pStyle w:val="Heading1"/>
      </w:pPr>
      <w:r>
        <w:t>1. Research problem and selected paper</w:t>
      </w:r>
    </w:p>
    <w:p>
      <w:pPr>
        <w:pStyle w:val="Heading2"/>
      </w:pPr>
      <w:r>
        <w:t>Problem and proposed solution [1]</w:t>
      </w:r>
    </w:p>
    <w:p>
      <w:r>
        <w:t>Shahbazi and Byun address the lack of trustworthy social-media news and user accounts. Their proposed system combines natural language processing, reinforcement learning and a permissioned blockchain. The intended workflow analyzes news, authenticates participants and records transaction history in a distributed ledger.</w:t>
      </w:r>
    </w:p>
    <w:p>
      <w:r>
        <w:t>Section III.A describes cleaning, segmentation, stop-word handling, feature extraction, indexing and embeddings. Section III.B describes deep reinforcement learning and a Markov decision-process formulation. Section III.C identifies the user, publisher, validator, transaction and news entities. The paper uses credibility information and a PoA-oriented design for authorization and validation.</w:t>
      </w:r>
    </w:p>
    <w:p>
      <w:pPr>
        <w:pStyle w:val="Heading2"/>
      </w:pPr>
      <w:r>
        <w:t>Original implementation [1]</w:t>
      </w:r>
    </w:p>
    <w:p>
      <w:r>
        <w:t>Section III.C.2 describes Hyperledger Composer business logic. Section V and Table 6 report Hyperledger Fabric 1.2, Composer Playground/REST tooling, Node.js, CouchDB, Docker and Ubuntu. The paper also reports a data collection of 900,000 news records from 2015-2019. Those records and the authors' exact model implementation are not included in this teaching package.</w:t>
      </w:r>
    </w:p>
    <w:p>
      <w:pPr>
        <w:pStyle w:val="Heading2"/>
      </w:pPr>
      <w:r>
        <w:t>Consensus terminology: preserve the distinction</w:t>
      </w:r>
    </w:p>
    <w:p>
      <w:r>
        <w:t>The design and conclusion discuss PoA, while Section VI.B discusses PBFT and RAFT evaluation. These are the paper's separate descriptions. The supplied text does not establish one complete, reproducible deployment configuration joining all of them; this adaptation does not silently replace that uncertainty with an invented consensus setup.</w:t>
      </w:r>
    </w:p>
    <w:p>
      <w:pPr>
        <w:pStyle w:val="Heading2"/>
      </w:pPr>
      <w:r>
        <w:t>Conclusion direction addressed</w:t>
      </w:r>
    </w:p>
    <w:p>
      <w:r>
        <w:t>The conclusion identifies further investigation of the Proof-of-Authority protocol and user validation. The adaptation addresses a bounded user-validation/authority-management direction through signed role enrollment, restricted stream writers and revocation. It does not claim to solve all fake-news or identity problems. [1, Section VII; C]</w:t>
      </w:r>
    </w:p>
    <w:p>
      <w:r>
        <w:br w:type="page"/>
      </w:r>
    </w:p>
    <w:p>
      <w:pPr>
        <w:pStyle w:val="Heading1"/>
      </w:pPr>
      <w:r>
        <w:t>2. Original architecture and data flow</w:t>
      </w:r>
    </w:p>
    <w:p>
      <w:pPr>
        <w:keepNext/>
        <w:spacing w:after="60"/>
        <w:jc w:val="center"/>
      </w:pPr>
      <w:r>
        <w:drawing>
          <wp:inline xmlns:a="http://schemas.openxmlformats.org/drawingml/2006/main" xmlns:pic="http://schemas.openxmlformats.org/drawingml/2006/picture">
            <wp:extent cx="6400800" cy="3751092"/>
            <wp:docPr id="1" name="Picture 1"/>
            <wp:cNvGraphicFramePr>
              <a:graphicFrameLocks noChangeAspect="1"/>
            </wp:cNvGraphicFramePr>
            <a:graphic>
              <a:graphicData uri="http://schemas.openxmlformats.org/drawingml/2006/picture">
                <pic:pic>
                  <pic:nvPicPr>
                    <pic:cNvPr id="0" name="paper_figure_1.png"/>
                    <pic:cNvPicPr/>
                  </pic:nvPicPr>
                  <pic:blipFill>
                    <a:blip r:embed="rId10"/>
                    <a:stretch>
                      <a:fillRect/>
                    </a:stretch>
                  </pic:blipFill>
                  <pic:spPr>
                    <a:xfrm>
                      <a:off x="0" y="0"/>
                      <a:ext cx="6400800" cy="3751092"/>
                    </a:xfrm>
                    <a:prstGeom prst="rect"/>
                  </pic:spPr>
                </pic:pic>
              </a:graphicData>
            </a:graphic>
          </wp:inline>
        </w:drawing>
      </w:r>
    </w:p>
    <w:p>
      <w:pPr>
        <w:pStyle w:val="Caption"/>
      </w:pPr>
      <w:r>
        <w:t>Figure F01. Original Figure 1, cropped from Shahbazi and Byun [1], PDF p.3 / printed p.128444. CC BY 4.0. This is the paper authors' figure.</w:t>
      </w:r>
    </w:p>
    <w:p>
      <w:r>
        <w:t>Figure F01 links the off-chain data lake to data-analysis and reinforcement-learning modules. The analysis outputs and participant interactions connect to a blockchain network containing peers, smart contracts and the ledger. Participant access is shown through Fabric-client/API and digital-sign/encryption components. [1, Figure 1]</w:t>
      </w:r>
    </w:p>
    <w:tbl>
      <w:tblPr>
        <w:tblW w:type="auto" w:w="0"/>
        <w:jc w:val="center"/>
        <w:tblLayout w:type="fixed"/>
        <w:tblLook w:firstColumn="1" w:firstRow="1" w:lastColumn="0" w:lastRow="0" w:noHBand="0" w:noVBand="1" w:val="04A0"/>
      </w:tblPr>
      <w:tblGrid>
        <w:gridCol w:w="2952"/>
        <w:gridCol w:w="7200"/>
      </w:tblGrid>
      <w:tr>
        <w:trPr>
          <w:cantSplit/>
          <w:tblHeader/>
        </w:trPr>
        <w:tc>
          <w:tcPr>
            <w:tcW w:type="dxa" w:w="2952"/>
            <w:vAlign w:val="center"/>
            <w:tcMar>
              <w:top w:w="85" w:type="dxa"/>
              <w:left w:w="85" w:type="dxa"/>
              <w:bottom w:w="85" w:type="dxa"/>
              <w:right w:w="85" w:type="dxa"/>
            </w:tcMar>
            <w:shd w:fill="E9EEF2"/>
          </w:tcPr>
          <w:p>
            <w:pPr>
              <w:spacing w:after="60" w:before="40"/>
            </w:pPr>
            <w:r>
              <w:rPr>
                <w:b/>
                <w:sz w:val="20"/>
              </w:rPr>
              <w:t>Original element</w:t>
            </w:r>
          </w:p>
        </w:tc>
        <w:tc>
          <w:tcPr>
            <w:tcW w:type="dxa" w:w="7200"/>
            <w:vAlign w:val="center"/>
            <w:tcMar>
              <w:top w:w="85" w:type="dxa"/>
              <w:left w:w="85" w:type="dxa"/>
              <w:bottom w:w="85" w:type="dxa"/>
              <w:right w:w="85" w:type="dxa"/>
            </w:tcMar>
            <w:shd w:fill="E9EEF2"/>
          </w:tcPr>
          <w:p>
            <w:pPr>
              <w:spacing w:after="60" w:before="40"/>
            </w:pPr>
            <w:r>
              <w:rPr>
                <w:b/>
                <w:sz w:val="20"/>
              </w:rPr>
              <w:t>Explanation from the paper</w:t>
            </w:r>
          </w:p>
        </w:tc>
      </w:tr>
      <w:tr>
        <w:trPr>
          <w:cantSplit/>
        </w:trPr>
        <w:tc>
          <w:tcPr>
            <w:tcW w:type="dxa" w:w="2952"/>
            <w:vAlign w:val="center"/>
            <w:tcMar>
              <w:top w:w="85" w:type="dxa"/>
              <w:left w:w="85" w:type="dxa"/>
              <w:bottom w:w="85" w:type="dxa"/>
              <w:right w:w="85" w:type="dxa"/>
            </w:tcMar>
          </w:tcPr>
          <w:p>
            <w:pPr>
              <w:spacing w:after="60" w:before="40"/>
            </w:pPr>
            <w:r>
              <w:rPr>
                <w:b w:val="0"/>
                <w:sz w:val="20"/>
              </w:rPr>
              <w:t>Data lake / analysis</w:t>
            </w:r>
          </w:p>
        </w:tc>
        <w:tc>
          <w:tcPr>
            <w:tcW w:type="dxa" w:w="7200"/>
            <w:vAlign w:val="center"/>
            <w:tcMar>
              <w:top w:w="85" w:type="dxa"/>
              <w:left w:w="85" w:type="dxa"/>
              <w:bottom w:w="85" w:type="dxa"/>
              <w:right w:w="85" w:type="dxa"/>
            </w:tcMar>
          </w:tcPr>
          <w:p>
            <w:pPr>
              <w:spacing w:after="60" w:before="40"/>
            </w:pPr>
            <w:r>
              <w:rPr>
                <w:b w:val="0"/>
                <w:sz w:val="20"/>
              </w:rPr>
              <w:t>User/news information, history and feature-oriented analysis feed prediction.</w:t>
            </w:r>
          </w:p>
        </w:tc>
      </w:tr>
      <w:tr>
        <w:trPr>
          <w:cantSplit/>
        </w:trPr>
        <w:tc>
          <w:tcPr>
            <w:tcW w:type="dxa" w:w="2952"/>
            <w:vAlign w:val="center"/>
            <w:tcMar>
              <w:top w:w="85" w:type="dxa"/>
              <w:left w:w="85" w:type="dxa"/>
              <w:bottom w:w="85" w:type="dxa"/>
              <w:right w:w="85" w:type="dxa"/>
            </w:tcMar>
          </w:tcPr>
          <w:p>
            <w:pPr>
              <w:spacing w:after="60" w:before="40"/>
            </w:pPr>
            <w:r>
              <w:rPr>
                <w:b w:val="0"/>
                <w:sz w:val="20"/>
              </w:rPr>
              <w:t>Participants / clients</w:t>
            </w:r>
          </w:p>
        </w:tc>
        <w:tc>
          <w:tcPr>
            <w:tcW w:type="dxa" w:w="7200"/>
            <w:vAlign w:val="center"/>
            <w:tcMar>
              <w:top w:w="85" w:type="dxa"/>
              <w:left w:w="85" w:type="dxa"/>
              <w:bottom w:w="85" w:type="dxa"/>
              <w:right w:w="85" w:type="dxa"/>
            </w:tcMar>
          </w:tcPr>
          <w:p>
            <w:pPr>
              <w:spacing w:after="60" w:before="40"/>
            </w:pPr>
            <w:r>
              <w:rPr>
                <w:b w:val="0"/>
                <w:sz w:val="20"/>
              </w:rPr>
              <w:t>Participants interact with the permissioned blockchain through the client interface.</w:t>
            </w:r>
          </w:p>
        </w:tc>
      </w:tr>
      <w:tr>
        <w:trPr>
          <w:cantSplit/>
        </w:trPr>
        <w:tc>
          <w:tcPr>
            <w:tcW w:type="dxa" w:w="2952"/>
            <w:vAlign w:val="center"/>
            <w:tcMar>
              <w:top w:w="85" w:type="dxa"/>
              <w:left w:w="85" w:type="dxa"/>
              <w:bottom w:w="85" w:type="dxa"/>
              <w:right w:w="85" w:type="dxa"/>
            </w:tcMar>
          </w:tcPr>
          <w:p>
            <w:pPr>
              <w:spacing w:after="60" w:before="40"/>
            </w:pPr>
            <w:r>
              <w:rPr>
                <w:b w:val="0"/>
                <w:sz w:val="20"/>
              </w:rPr>
              <w:t>Blockchain / smart contract</w:t>
            </w:r>
          </w:p>
        </w:tc>
        <w:tc>
          <w:tcPr>
            <w:tcW w:type="dxa" w:w="7200"/>
            <w:vAlign w:val="center"/>
            <w:tcMar>
              <w:top w:w="85" w:type="dxa"/>
              <w:left w:w="85" w:type="dxa"/>
              <w:bottom w:w="85" w:type="dxa"/>
              <w:right w:w="85" w:type="dxa"/>
            </w:tcMar>
          </w:tcPr>
          <w:p>
            <w:pPr>
              <w:spacing w:after="60" w:before="40"/>
            </w:pPr>
            <w:r>
              <w:rPr>
                <w:b w:val="0"/>
                <w:sz w:val="20"/>
              </w:rPr>
              <w:t>Business rules manage records, access and transaction history.</w:t>
            </w:r>
          </w:p>
        </w:tc>
      </w:tr>
      <w:tr>
        <w:trPr>
          <w:cantSplit/>
        </w:trPr>
        <w:tc>
          <w:tcPr>
            <w:tcW w:type="dxa" w:w="2952"/>
            <w:vAlign w:val="center"/>
            <w:tcMar>
              <w:top w:w="85" w:type="dxa"/>
              <w:left w:w="85" w:type="dxa"/>
              <w:bottom w:w="85" w:type="dxa"/>
              <w:right w:w="85" w:type="dxa"/>
            </w:tcMar>
          </w:tcPr>
          <w:p>
            <w:pPr>
              <w:spacing w:after="60" w:before="40"/>
            </w:pPr>
            <w:r>
              <w:rPr>
                <w:b w:val="0"/>
                <w:sz w:val="20"/>
              </w:rPr>
              <w:t>Reviewer entities</w:t>
            </w:r>
          </w:p>
        </w:tc>
        <w:tc>
          <w:tcPr>
            <w:tcW w:type="dxa" w:w="7200"/>
            <w:vAlign w:val="center"/>
            <w:tcMar>
              <w:top w:w="85" w:type="dxa"/>
              <w:left w:w="85" w:type="dxa"/>
              <w:bottom w:w="85" w:type="dxa"/>
              <w:right w:w="85" w:type="dxa"/>
            </w:tcMar>
          </w:tcPr>
          <w:p>
            <w:pPr>
              <w:spacing w:after="60" w:before="40"/>
            </w:pPr>
            <w:r>
              <w:rPr>
                <w:b w:val="0"/>
                <w:sz w:val="20"/>
              </w:rPr>
              <w:t>Publishers submit news; validators examine it; transactions record acceptance/rejection.</w:t>
            </w:r>
          </w:p>
        </w:tc>
      </w:tr>
    </w:tbl>
    <w:p/>
    <w:p>
      <w:r>
        <w:t>The original figure is conceptual: it should not be used as evidence that this MultiChain lab deploys Fabric clients, Composer or the authors' DRL architecture.</w:t>
      </w:r>
    </w:p>
    <w:p>
      <w:r>
        <w:br w:type="page"/>
      </w:r>
    </w:p>
    <w:p>
      <w:pPr>
        <w:pStyle w:val="Heading1"/>
      </w:pPr>
      <w:r>
        <w:t>3. Component mapping and justification</w:t>
      </w:r>
    </w:p>
    <w:tbl>
      <w:tblPr>
        <w:tblW w:type="auto" w:w="0"/>
        <w:jc w:val="center"/>
        <w:tblLayout w:type="fixed"/>
        <w:tblLook w:firstColumn="1" w:firstRow="1" w:lastColumn="0" w:lastRow="0" w:noHBand="0" w:noVBand="1" w:val="04A0"/>
      </w:tblPr>
      <w:tblGrid>
        <w:gridCol w:w="2232"/>
        <w:gridCol w:w="3888"/>
        <w:gridCol w:w="4032"/>
      </w:tblGrid>
      <w:tr>
        <w:trPr>
          <w:cantSplit/>
          <w:tblHeader/>
        </w:trPr>
        <w:tc>
          <w:tcPr>
            <w:tcW w:type="dxa" w:w="2232"/>
            <w:vAlign w:val="center"/>
            <w:tcMar>
              <w:top w:w="85" w:type="dxa"/>
              <w:left w:w="85" w:type="dxa"/>
              <w:bottom w:w="85" w:type="dxa"/>
              <w:right w:w="85" w:type="dxa"/>
            </w:tcMar>
            <w:shd w:fill="E9EEF2"/>
          </w:tcPr>
          <w:p>
            <w:pPr>
              <w:spacing w:after="60" w:before="40"/>
            </w:pPr>
            <w:r>
              <w:rPr>
                <w:b/>
                <w:sz w:val="20"/>
              </w:rPr>
              <w:t>Paper component [1]</w:t>
            </w:r>
          </w:p>
        </w:tc>
        <w:tc>
          <w:tcPr>
            <w:tcW w:type="dxa" w:w="3888"/>
            <w:vAlign w:val="center"/>
            <w:tcMar>
              <w:top w:w="85" w:type="dxa"/>
              <w:left w:w="85" w:type="dxa"/>
              <w:bottom w:w="85" w:type="dxa"/>
              <w:right w:w="85" w:type="dxa"/>
            </w:tcMar>
            <w:shd w:fill="E9EEF2"/>
          </w:tcPr>
          <w:p>
            <w:pPr>
              <w:spacing w:after="60" w:before="40"/>
            </w:pPr>
            <w:r>
              <w:rPr>
                <w:b/>
                <w:sz w:val="20"/>
              </w:rPr>
              <w:t>MultiChain implementation [C]</w:t>
            </w:r>
          </w:p>
        </w:tc>
        <w:tc>
          <w:tcPr>
            <w:tcW w:type="dxa" w:w="4032"/>
            <w:vAlign w:val="center"/>
            <w:tcMar>
              <w:top w:w="85" w:type="dxa"/>
              <w:left w:w="85" w:type="dxa"/>
              <w:bottom w:w="85" w:type="dxa"/>
              <w:right w:w="85" w:type="dxa"/>
            </w:tcMar>
            <w:shd w:fill="E9EEF2"/>
          </w:tcPr>
          <w:p>
            <w:pPr>
              <w:spacing w:after="60" w:before="40"/>
            </w:pPr>
            <w:r>
              <w:rPr>
                <w:b/>
                <w:sz w:val="20"/>
              </w:rPr>
              <w:t>Boundary</w:t>
            </w:r>
          </w:p>
        </w:tc>
      </w:tr>
      <w:tr>
        <w:trPr>
          <w:cantSplit/>
        </w:trPr>
        <w:tc>
          <w:tcPr>
            <w:tcW w:type="dxa" w:w="2232"/>
            <w:vAlign w:val="center"/>
            <w:tcMar>
              <w:top w:w="85" w:type="dxa"/>
              <w:left w:w="85" w:type="dxa"/>
              <w:bottom w:w="85" w:type="dxa"/>
              <w:right w:w="85" w:type="dxa"/>
            </w:tcMar>
          </w:tcPr>
          <w:p>
            <w:pPr>
              <w:spacing w:after="60" w:before="40"/>
            </w:pPr>
            <w:r>
              <w:rPr>
                <w:b w:val="0"/>
                <w:sz w:val="20"/>
              </w:rPr>
              <w:t>User identification</w:t>
            </w:r>
          </w:p>
        </w:tc>
        <w:tc>
          <w:tcPr>
            <w:tcW w:type="dxa" w:w="3888"/>
            <w:vAlign w:val="center"/>
            <w:tcMar>
              <w:top w:w="85" w:type="dxa"/>
              <w:left w:w="85" w:type="dxa"/>
              <w:bottom w:w="85" w:type="dxa"/>
              <w:right w:w="85" w:type="dxa"/>
            </w:tcMar>
          </w:tcPr>
          <w:p>
            <w:pPr>
              <w:spacing w:after="60" w:before="40"/>
            </w:pPr>
            <w:r>
              <w:rPr>
                <w:b w:val="0"/>
                <w:sz w:val="20"/>
              </w:rPr>
              <w:t>Authority approval + signed ENROLL in registry</w:t>
            </w:r>
          </w:p>
        </w:tc>
        <w:tc>
          <w:tcPr>
            <w:tcW w:type="dxa" w:w="4032"/>
            <w:vAlign w:val="center"/>
            <w:tcMar>
              <w:top w:w="85" w:type="dxa"/>
              <w:left w:w="85" w:type="dxa"/>
              <w:bottom w:w="85" w:type="dxa"/>
              <w:right w:w="85" w:type="dxa"/>
            </w:tcMar>
          </w:tcPr>
          <w:p>
            <w:pPr>
              <w:spacing w:after="60" w:before="40"/>
            </w:pPr>
            <w:r>
              <w:rPr>
                <w:b w:val="0"/>
                <w:sz w:val="20"/>
              </w:rPr>
              <w:t>Key possession, not real-world identity.</w:t>
            </w:r>
          </w:p>
        </w:tc>
      </w:tr>
      <w:tr>
        <w:trPr>
          <w:cantSplit/>
        </w:trPr>
        <w:tc>
          <w:tcPr>
            <w:tcW w:type="dxa" w:w="2232"/>
            <w:vAlign w:val="center"/>
            <w:tcMar>
              <w:top w:w="85" w:type="dxa"/>
              <w:left w:w="85" w:type="dxa"/>
              <w:bottom w:w="85" w:type="dxa"/>
              <w:right w:w="85" w:type="dxa"/>
            </w:tcMar>
          </w:tcPr>
          <w:p>
            <w:pPr>
              <w:spacing w:after="60" w:before="40"/>
            </w:pPr>
            <w:r>
              <w:rPr>
                <w:b w:val="0"/>
                <w:sz w:val="20"/>
              </w:rPr>
              <w:t>Publisher</w:t>
            </w:r>
          </w:p>
        </w:tc>
        <w:tc>
          <w:tcPr>
            <w:tcW w:type="dxa" w:w="3888"/>
            <w:vAlign w:val="center"/>
            <w:tcMar>
              <w:top w:w="85" w:type="dxa"/>
              <w:left w:w="85" w:type="dxa"/>
              <w:bottom w:w="85" w:type="dxa"/>
              <w:right w:w="85" w:type="dxa"/>
            </w:tcMar>
          </w:tcPr>
          <w:p>
            <w:pPr>
              <w:spacing w:after="60" w:before="40"/>
            </w:pPr>
            <w:r>
              <w:rPr>
                <w:b w:val="0"/>
                <w:sz w:val="20"/>
              </w:rPr>
              <w:t>Dedicated wallet; news.write</w:t>
            </w:r>
          </w:p>
        </w:tc>
        <w:tc>
          <w:tcPr>
            <w:tcW w:type="dxa" w:w="4032"/>
            <w:vAlign w:val="center"/>
            <w:tcMar>
              <w:top w:w="85" w:type="dxa"/>
              <w:left w:w="85" w:type="dxa"/>
              <w:bottom w:w="85" w:type="dxa"/>
              <w:right w:w="85" w:type="dxa"/>
            </w:tcMar>
          </w:tcPr>
          <w:p>
            <w:pPr>
              <w:spacing w:after="60" w:before="40"/>
            </w:pPr>
            <w:r>
              <w:rPr>
                <w:b w:val="0"/>
                <w:sz w:val="20"/>
              </w:rPr>
              <w:t>Cannot normally write decisions.</w:t>
            </w:r>
          </w:p>
        </w:tc>
      </w:tr>
      <w:tr>
        <w:trPr>
          <w:cantSplit/>
        </w:trPr>
        <w:tc>
          <w:tcPr>
            <w:tcW w:type="dxa" w:w="2232"/>
            <w:vAlign w:val="center"/>
            <w:tcMar>
              <w:top w:w="85" w:type="dxa"/>
              <w:left w:w="85" w:type="dxa"/>
              <w:bottom w:w="85" w:type="dxa"/>
              <w:right w:w="85" w:type="dxa"/>
            </w:tcMar>
          </w:tcPr>
          <w:p>
            <w:pPr>
              <w:spacing w:after="60" w:before="40"/>
            </w:pPr>
            <w:r>
              <w:rPr>
                <w:b w:val="0"/>
                <w:sz w:val="20"/>
              </w:rPr>
              <w:t>Validators</w:t>
            </w:r>
          </w:p>
        </w:tc>
        <w:tc>
          <w:tcPr>
            <w:tcW w:type="dxa" w:w="3888"/>
            <w:vAlign w:val="center"/>
            <w:tcMar>
              <w:top w:w="85" w:type="dxa"/>
              <w:left w:w="85" w:type="dxa"/>
              <w:bottom w:w="85" w:type="dxa"/>
              <w:right w:w="85" w:type="dxa"/>
            </w:tcMar>
          </w:tcPr>
          <w:p>
            <w:pPr>
              <w:spacing w:after="60" w:before="40"/>
            </w:pPr>
            <w:r>
              <w:rPr>
                <w:b w:val="0"/>
                <w:sz w:val="20"/>
              </w:rPr>
              <w:t>Two configured wallets; votes.write</w:t>
            </w:r>
          </w:p>
        </w:tc>
        <w:tc>
          <w:tcPr>
            <w:tcW w:type="dxa" w:w="4032"/>
            <w:vAlign w:val="center"/>
            <w:tcMar>
              <w:top w:w="85" w:type="dxa"/>
              <w:left w:w="85" w:type="dxa"/>
              <w:bottom w:w="85" w:type="dxa"/>
              <w:right w:w="85" w:type="dxa"/>
            </w:tcMar>
          </w:tcPr>
          <w:p>
            <w:pPr>
              <w:spacing w:after="60" w:before="40"/>
            </w:pPr>
            <w:r>
              <w:rPr>
                <w:b w:val="0"/>
                <w:sz w:val="20"/>
              </w:rPr>
              <w:t>Fixture reviewers are not independent fact checkers.</w:t>
            </w:r>
          </w:p>
        </w:tc>
      </w:tr>
      <w:tr>
        <w:trPr>
          <w:cantSplit/>
        </w:trPr>
        <w:tc>
          <w:tcPr>
            <w:tcW w:type="dxa" w:w="2232"/>
            <w:vAlign w:val="center"/>
            <w:tcMar>
              <w:top w:w="85" w:type="dxa"/>
              <w:left w:w="85" w:type="dxa"/>
              <w:bottom w:w="85" w:type="dxa"/>
              <w:right w:w="85" w:type="dxa"/>
            </w:tcMar>
          </w:tcPr>
          <w:p>
            <w:pPr>
              <w:spacing w:after="60" w:before="40"/>
            </w:pPr>
            <w:r>
              <w:rPr>
                <w:b w:val="0"/>
                <w:sz w:val="20"/>
              </w:rPr>
              <w:t>News / transaction history</w:t>
            </w:r>
          </w:p>
        </w:tc>
        <w:tc>
          <w:tcPr>
            <w:tcW w:type="dxa" w:w="3888"/>
            <w:vAlign w:val="center"/>
            <w:tcMar>
              <w:top w:w="85" w:type="dxa"/>
              <w:left w:w="85" w:type="dxa"/>
              <w:bottom w:w="85" w:type="dxa"/>
              <w:right w:w="85" w:type="dxa"/>
            </w:tcMar>
          </w:tcPr>
          <w:p>
            <w:pPr>
              <w:spacing w:after="60" w:before="40"/>
            </w:pPr>
            <w:r>
              <w:rPr>
                <w:b w:val="0"/>
                <w:sz w:val="20"/>
              </w:rPr>
              <w:t>JSON streams, content hash, txids and confirmations</w:t>
            </w:r>
          </w:p>
        </w:tc>
        <w:tc>
          <w:tcPr>
            <w:tcW w:type="dxa" w:w="4032"/>
            <w:vAlign w:val="center"/>
            <w:tcMar>
              <w:top w:w="85" w:type="dxa"/>
              <w:left w:w="85" w:type="dxa"/>
              <w:bottom w:w="85" w:type="dxa"/>
              <w:right w:w="85" w:type="dxa"/>
            </w:tcMar>
          </w:tcPr>
          <w:p>
            <w:pPr>
              <w:spacing w:after="60" w:before="40"/>
            </w:pPr>
            <w:r>
              <w:rPr>
                <w:b w:val="0"/>
                <w:sz w:val="20"/>
              </w:rPr>
              <w:t>Full article text is visible to chain participants.</w:t>
            </w:r>
          </w:p>
        </w:tc>
      </w:tr>
      <w:tr>
        <w:trPr>
          <w:cantSplit/>
        </w:trPr>
        <w:tc>
          <w:tcPr>
            <w:tcW w:type="dxa" w:w="2232"/>
            <w:vAlign w:val="center"/>
            <w:tcMar>
              <w:top w:w="85" w:type="dxa"/>
              <w:left w:w="85" w:type="dxa"/>
              <w:bottom w:w="85" w:type="dxa"/>
              <w:right w:w="85" w:type="dxa"/>
            </w:tcMar>
          </w:tcPr>
          <w:p>
            <w:pPr>
              <w:spacing w:after="60" w:before="40"/>
            </w:pPr>
            <w:r>
              <w:rPr>
                <w:b w:val="0"/>
                <w:sz w:val="20"/>
              </w:rPr>
              <w:t>NLP / DRL</w:t>
            </w:r>
          </w:p>
        </w:tc>
        <w:tc>
          <w:tcPr>
            <w:tcW w:type="dxa" w:w="3888"/>
            <w:vAlign w:val="center"/>
            <w:tcMar>
              <w:top w:w="85" w:type="dxa"/>
              <w:left w:w="85" w:type="dxa"/>
              <w:bottom w:w="85" w:type="dxa"/>
              <w:right w:w="85" w:type="dxa"/>
            </w:tcMar>
          </w:tcPr>
          <w:p>
            <w:pPr>
              <w:spacing w:after="60" w:before="40"/>
            </w:pPr>
            <w:r>
              <w:rPr>
                <w:b w:val="0"/>
                <w:sz w:val="20"/>
              </w:rPr>
              <w:t>TF-IDF evidence and terminal tabular-Q model</w:t>
            </w:r>
          </w:p>
        </w:tc>
        <w:tc>
          <w:tcPr>
            <w:tcW w:type="dxa" w:w="4032"/>
            <w:vAlign w:val="center"/>
            <w:tcMar>
              <w:top w:w="85" w:type="dxa"/>
              <w:left w:w="85" w:type="dxa"/>
              <w:bottom w:w="85" w:type="dxa"/>
              <w:right w:w="85" w:type="dxa"/>
            </w:tcMar>
          </w:tcPr>
          <w:p>
            <w:pPr>
              <w:spacing w:after="60" w:before="40"/>
            </w:pPr>
            <w:r>
              <w:rPr>
                <w:b w:val="0"/>
                <w:sz w:val="20"/>
              </w:rPr>
              <w:t>Teaching substitute; not original model or dataset.</w:t>
            </w:r>
          </w:p>
        </w:tc>
      </w:tr>
      <w:tr>
        <w:trPr>
          <w:cantSplit/>
        </w:trPr>
        <w:tc>
          <w:tcPr>
            <w:tcW w:type="dxa" w:w="2232"/>
            <w:vAlign w:val="center"/>
            <w:tcMar>
              <w:top w:w="85" w:type="dxa"/>
              <w:left w:w="85" w:type="dxa"/>
              <w:bottom w:w="85" w:type="dxa"/>
              <w:right w:w="85" w:type="dxa"/>
            </w:tcMar>
          </w:tcPr>
          <w:p>
            <w:pPr>
              <w:spacing w:after="60" w:before="40"/>
            </w:pPr>
            <w:r>
              <w:rPr>
                <w:b w:val="0"/>
                <w:sz w:val="20"/>
              </w:rPr>
              <w:t>Smart contract logic</w:t>
            </w:r>
          </w:p>
        </w:tc>
        <w:tc>
          <w:tcPr>
            <w:tcW w:type="dxa" w:w="3888"/>
            <w:vAlign w:val="center"/>
            <w:tcMar>
              <w:top w:w="85" w:type="dxa"/>
              <w:left w:w="85" w:type="dxa"/>
              <w:bottom w:w="85" w:type="dxa"/>
              <w:right w:w="85" w:type="dxa"/>
            </w:tcMar>
          </w:tcPr>
          <w:p>
            <w:pPr>
              <w:spacing w:after="60" w:before="40"/>
            </w:pPr>
            <w:r>
              <w:rPr>
                <w:b w:val="0"/>
                <w:sz w:val="20"/>
              </w:rPr>
              <w:t>Python submit/vote/finalize/inspect; native ACLs</w:t>
            </w:r>
          </w:p>
        </w:tc>
        <w:tc>
          <w:tcPr>
            <w:tcW w:type="dxa" w:w="4032"/>
            <w:vAlign w:val="center"/>
            <w:tcMar>
              <w:top w:w="85" w:type="dxa"/>
              <w:left w:w="85" w:type="dxa"/>
              <w:bottom w:w="85" w:type="dxa"/>
              <w:right w:w="85" w:type="dxa"/>
            </w:tcMar>
          </w:tcPr>
          <w:p>
            <w:pPr>
              <w:spacing w:after="60" w:before="40"/>
            </w:pPr>
            <w:r>
              <w:rPr>
                <w:b w:val="0"/>
                <w:sz w:val="20"/>
              </w:rPr>
              <w:t>Not on-chain Fabric chaincode; raw RPC can bypass wrapper rules.</w:t>
            </w:r>
          </w:p>
        </w:tc>
      </w:tr>
      <w:tr>
        <w:trPr>
          <w:cantSplit/>
        </w:trPr>
        <w:tc>
          <w:tcPr>
            <w:tcW w:type="dxa" w:w="2232"/>
            <w:vAlign w:val="center"/>
            <w:tcMar>
              <w:top w:w="85" w:type="dxa"/>
              <w:left w:w="85" w:type="dxa"/>
              <w:bottom w:w="85" w:type="dxa"/>
              <w:right w:w="85" w:type="dxa"/>
            </w:tcMar>
          </w:tcPr>
          <w:p>
            <w:pPr>
              <w:spacing w:after="60" w:before="40"/>
            </w:pPr>
            <w:r>
              <w:rPr>
                <w:b w:val="0"/>
                <w:sz w:val="20"/>
              </w:rPr>
              <w:t>PoA-oriented trust</w:t>
            </w:r>
          </w:p>
        </w:tc>
        <w:tc>
          <w:tcPr>
            <w:tcW w:type="dxa" w:w="3888"/>
            <w:vAlign w:val="center"/>
            <w:tcMar>
              <w:top w:w="85" w:type="dxa"/>
              <w:left w:w="85" w:type="dxa"/>
              <w:bottom w:w="85" w:type="dxa"/>
              <w:right w:w="85" w:type="dxa"/>
            </w:tcMar>
          </w:tcPr>
          <w:p>
            <w:pPr>
              <w:spacing w:after="60" w:before="40"/>
            </w:pPr>
            <w:r>
              <w:rPr>
                <w:b w:val="0"/>
                <w:sz w:val="20"/>
              </w:rPr>
              <w:t>Three native mining addresses; diversity 0.6</w:t>
            </w:r>
          </w:p>
        </w:tc>
        <w:tc>
          <w:tcPr>
            <w:tcW w:type="dxa" w:w="4032"/>
            <w:vAlign w:val="center"/>
            <w:tcMar>
              <w:top w:w="85" w:type="dxa"/>
              <w:left w:w="85" w:type="dxa"/>
              <w:bottom w:w="85" w:type="dxa"/>
              <w:right w:w="85" w:type="dxa"/>
            </w:tcMar>
          </w:tcPr>
          <w:p>
            <w:pPr>
              <w:spacing w:after="60" w:before="40"/>
            </w:pPr>
            <w:r>
              <w:rPr>
                <w:b w:val="0"/>
                <w:sz w:val="20"/>
              </w:rPr>
              <w:t>MultiChain mining, not a PBFT/RAFT reproduction.</w:t>
            </w:r>
          </w:p>
        </w:tc>
      </w:tr>
      <w:tr>
        <w:trPr>
          <w:cantSplit/>
        </w:trPr>
        <w:tc>
          <w:tcPr>
            <w:tcW w:type="dxa" w:w="2232"/>
            <w:vAlign w:val="center"/>
            <w:tcMar>
              <w:top w:w="85" w:type="dxa"/>
              <w:left w:w="85" w:type="dxa"/>
              <w:bottom w:w="85" w:type="dxa"/>
              <w:right w:w="85" w:type="dxa"/>
            </w:tcMar>
          </w:tcPr>
          <w:p>
            <w:pPr>
              <w:spacing w:after="60" w:before="40"/>
            </w:pPr>
            <w:r>
              <w:rPr>
                <w:b w:val="0"/>
                <w:sz w:val="20"/>
              </w:rPr>
              <w:t>Credibility / incentives</w:t>
            </w:r>
          </w:p>
        </w:tc>
        <w:tc>
          <w:tcPr>
            <w:tcW w:type="dxa" w:w="3888"/>
            <w:vAlign w:val="center"/>
            <w:tcMar>
              <w:top w:w="85" w:type="dxa"/>
              <w:left w:w="85" w:type="dxa"/>
              <w:bottom w:w="85" w:type="dxa"/>
              <w:right w:w="85" w:type="dxa"/>
            </w:tcMar>
          </w:tcPr>
          <w:p>
            <w:pPr>
              <w:spacing w:after="60" w:before="40"/>
            </w:pPr>
            <w:r>
              <w:rPr>
                <w:b w:val="0"/>
                <w:sz w:val="20"/>
              </w:rPr>
              <w:t>Descriptive decision score; NewsCredit asset</w:t>
            </w:r>
          </w:p>
        </w:tc>
        <w:tc>
          <w:tcPr>
            <w:tcW w:type="dxa" w:w="4032"/>
            <w:vAlign w:val="center"/>
            <w:tcMar>
              <w:top w:w="85" w:type="dxa"/>
              <w:left w:w="85" w:type="dxa"/>
              <w:bottom w:w="85" w:type="dxa"/>
              <w:right w:w="85" w:type="dxa"/>
            </w:tcMar>
          </w:tcPr>
          <w:p>
            <w:pPr>
              <w:spacing w:after="60" w:before="40"/>
            </w:pPr>
            <w:r>
              <w:rPr>
                <w:b w:val="0"/>
                <w:sz w:val="20"/>
              </w:rPr>
              <w:t>Neither automatically controls permissions.</w:t>
            </w:r>
          </w:p>
        </w:tc>
      </w:tr>
      <w:tr>
        <w:trPr>
          <w:cantSplit/>
        </w:trPr>
        <w:tc>
          <w:tcPr>
            <w:tcW w:type="dxa" w:w="2232"/>
            <w:vAlign w:val="center"/>
            <w:tcMar>
              <w:top w:w="85" w:type="dxa"/>
              <w:left w:w="85" w:type="dxa"/>
              <w:bottom w:w="85" w:type="dxa"/>
              <w:right w:w="85" w:type="dxa"/>
            </w:tcMar>
          </w:tcPr>
          <w:p>
            <w:pPr>
              <w:spacing w:after="60" w:before="40"/>
            </w:pPr>
            <w:r>
              <w:rPr>
                <w:b w:val="0"/>
                <w:sz w:val="20"/>
              </w:rPr>
              <w:t>Queries / audit</w:t>
            </w:r>
          </w:p>
        </w:tc>
        <w:tc>
          <w:tcPr>
            <w:tcW w:type="dxa" w:w="3888"/>
            <w:vAlign w:val="center"/>
            <w:tcMar>
              <w:top w:w="85" w:type="dxa"/>
              <w:left w:w="85" w:type="dxa"/>
              <w:bottom w:w="85" w:type="dxa"/>
              <w:right w:w="85" w:type="dxa"/>
            </w:tcMar>
          </w:tcPr>
          <w:p>
            <w:pPr>
              <w:spacing w:after="60" w:before="40"/>
            </w:pPr>
            <w:r>
              <w:rPr>
                <w:b w:val="0"/>
                <w:sz w:val="20"/>
              </w:rPr>
              <w:t>Stream indexes and auditor recomputation</w:t>
            </w:r>
          </w:p>
        </w:tc>
        <w:tc>
          <w:tcPr>
            <w:tcW w:type="dxa" w:w="4032"/>
            <w:vAlign w:val="center"/>
            <w:tcMar>
              <w:top w:w="85" w:type="dxa"/>
              <w:left w:w="85" w:type="dxa"/>
              <w:bottom w:w="85" w:type="dxa"/>
              <w:right w:w="85" w:type="dxa"/>
            </w:tcMar>
          </w:tcPr>
          <w:p>
            <w:pPr>
              <w:spacing w:after="60" w:before="40"/>
            </w:pPr>
            <w:r>
              <w:rPr>
                <w:b w:val="0"/>
                <w:sz w:val="20"/>
              </w:rPr>
              <w:t>Bounded evidence checking, not factual truth.</w:t>
            </w:r>
          </w:p>
        </w:tc>
      </w:tr>
    </w:tbl>
    <w:p/>
    <w:p>
      <w:r>
        <w:t>The key mapping is functional, not platform equivalence. The application decides how to interpret review records; the blockchain decides which signed, permitted transactions can be recorded. [C]</w:t>
      </w:r>
    </w:p>
    <w:p>
      <w:r>
        <w:t>The full mapping, source locations and omissions are in docs/PAPER_MAPPING.md. Explain the justification for each chosen mapping in your own report; do not present the table as proof of research-model equivalence.</w:t>
      </w:r>
    </w:p>
    <w:p>
      <w:r>
        <w:br w:type="page"/>
      </w:r>
    </w:p>
    <w:p>
      <w:pPr>
        <w:pStyle w:val="Heading1"/>
      </w:pPr>
      <w:r>
        <w:t>4. Proposed MultiChain architecture</w:t>
      </w:r>
    </w:p>
    <w:p>
      <w:pPr>
        <w:keepNext/>
        <w:spacing w:after="60"/>
        <w:jc w:val="center"/>
      </w:pPr>
      <w:r>
        <w:drawing>
          <wp:inline xmlns:a="http://schemas.openxmlformats.org/drawingml/2006/main" xmlns:pic="http://schemas.openxmlformats.org/drawingml/2006/picture">
            <wp:extent cx="6400800" cy="6838097"/>
            <wp:docPr id="2" name="Picture 2"/>
            <wp:cNvGraphicFramePr>
              <a:graphicFrameLocks noChangeAspect="1"/>
            </wp:cNvGraphicFramePr>
            <a:graphic>
              <a:graphicData uri="http://schemas.openxmlformats.org/drawingml/2006/picture">
                <pic:pic>
                  <pic:nvPicPr>
                    <pic:cNvPr id="0" name="multichain_architecture.png"/>
                    <pic:cNvPicPr/>
                  </pic:nvPicPr>
                  <pic:blipFill>
                    <a:blip r:embed="rId11"/>
                    <a:stretch>
                      <a:fillRect/>
                    </a:stretch>
                  </pic:blipFill>
                  <pic:spPr>
                    <a:xfrm>
                      <a:off x="0" y="0"/>
                      <a:ext cx="6400800" cy="6838097"/>
                    </a:xfrm>
                    <a:prstGeom prst="rect"/>
                  </pic:spPr>
                </pic:pic>
              </a:graphicData>
            </a:graphic>
          </wp:inline>
        </w:drawing>
      </w:r>
    </w:p>
    <w:p>
      <w:pPr>
        <w:pStyle w:val="Caption"/>
      </w:pPr>
      <w:r>
        <w:t>Figure F02. Paper-inspired classroom architecture for the preserved implementation [C]. Separate wallet roles share a replicated ledger; the Python policy remains outside native consensus.</w:t>
      </w:r>
    </w:p>
    <w:p>
      <w:r>
        <w:br w:type="page"/>
      </w:r>
    </w:p>
    <w:p>
      <w:pPr>
        <w:pStyle w:val="Heading1"/>
      </w:pPr>
      <w:r>
        <w:t>5. Nodes, processes and ports</w:t>
      </w:r>
    </w:p>
    <w:p>
      <w:pPr>
        <w:keepNext/>
        <w:spacing w:after="60"/>
        <w:jc w:val="center"/>
      </w:pPr>
      <w:r>
        <w:drawing>
          <wp:inline xmlns:a="http://schemas.openxmlformats.org/drawingml/2006/main" xmlns:pic="http://schemas.openxmlformats.org/drawingml/2006/picture">
            <wp:extent cx="6400800" cy="3897017"/>
            <wp:docPr id="3" name="Picture 3"/>
            <wp:cNvGraphicFramePr>
              <a:graphicFrameLocks noChangeAspect="1"/>
            </wp:cNvGraphicFramePr>
            <a:graphic>
              <a:graphicData uri="http://schemas.openxmlformats.org/drawingml/2006/picture">
                <pic:pic>
                  <pic:nvPicPr>
                    <pic:cNvPr id="0" name="F03_node_topology.png"/>
                    <pic:cNvPicPr/>
                  </pic:nvPicPr>
                  <pic:blipFill>
                    <a:blip r:embed="rId12"/>
                    <a:stretch>
                      <a:fillRect/>
                    </a:stretch>
                  </pic:blipFill>
                  <pic:spPr>
                    <a:xfrm>
                      <a:off x="0" y="0"/>
                      <a:ext cx="6400800" cy="3897017"/>
                    </a:xfrm>
                    <a:prstGeom prst="rect"/>
                  </pic:spPr>
                </pic:pic>
              </a:graphicData>
            </a:graphic>
          </wp:inline>
        </w:drawing>
      </w:r>
    </w:p>
    <w:p>
      <w:pPr>
        <w:pStyle w:val="Caption"/>
      </w:pPr>
      <w:r>
        <w:t>Figure F03. Default local topology [C]. Edges are illustrative. Use actual saved ports when --auto-ports selected alternatives.</w:t>
      </w:r>
    </w:p>
    <w:p>
      <w:r>
        <w:t>The roles are separate processes and wallets on one host. All are controlled by the local operator; they are not five independent organizations. Each node has a separate private data directory and RPC configuration.</w:t>
      </w:r>
    </w:p>
    <w:p>
      <w:r>
        <w:t>RPC ports 8441-8445 serve local application/CLI calls; P2P ports 7441-7445 serve node connections. Protocol version 20013 is neither a node address nor a port. A seed needs host:P2P-port. [C; 2]</w:t>
      </w:r>
    </w:p>
    <w:p>
      <w:r>
        <w:t>The core wrapper reads the selected workspace rather than relying on the shell's current directory. A bare multichaind command without the matching data directory may initialize or access an unrelated default-directory node. Keep the existing workspace and use start for a completed lab. [C; 2]</w:t>
      </w:r>
    </w:p>
    <w:p>
      <w:r>
        <w:br w:type="page"/>
      </w:r>
    </w:p>
    <w:p>
      <w:pPr>
        <w:pStyle w:val="Heading1"/>
      </w:pPr>
      <w:r>
        <w:t>6. Configuration and genesis</w:t>
      </w:r>
    </w:p>
    <w:tbl>
      <w:tblPr>
        <w:tblW w:type="auto" w:w="0"/>
        <w:jc w:val="center"/>
        <w:tblLayout w:type="fixed"/>
        <w:tblLook w:firstColumn="1" w:firstRow="1" w:lastColumn="0" w:lastRow="0" w:noHBand="0" w:noVBand="1" w:val="04A0"/>
      </w:tblPr>
      <w:tblGrid>
        <w:gridCol w:w="3384"/>
        <w:gridCol w:w="1152"/>
        <w:gridCol w:w="5616"/>
      </w:tblGrid>
      <w:tr>
        <w:trPr>
          <w:cantSplit/>
          <w:tblHeader/>
        </w:trPr>
        <w:tc>
          <w:tcPr>
            <w:tcW w:type="dxa" w:w="3384"/>
            <w:vAlign w:val="center"/>
            <w:tcMar>
              <w:top w:w="85" w:type="dxa"/>
              <w:left w:w="85" w:type="dxa"/>
              <w:bottom w:w="85" w:type="dxa"/>
              <w:right w:w="85" w:type="dxa"/>
            </w:tcMar>
            <w:shd w:fill="E9EEF2"/>
          </w:tcPr>
          <w:p>
            <w:pPr>
              <w:spacing w:after="60" w:before="40"/>
            </w:pPr>
            <w:r>
              <w:rPr>
                <w:b/>
                <w:sz w:val="20"/>
              </w:rPr>
              <w:t>Requested parameter</w:t>
            </w:r>
          </w:p>
        </w:tc>
        <w:tc>
          <w:tcPr>
            <w:tcW w:type="dxa" w:w="1152"/>
            <w:vAlign w:val="center"/>
            <w:tcMar>
              <w:top w:w="85" w:type="dxa"/>
              <w:left w:w="85" w:type="dxa"/>
              <w:bottom w:w="85" w:type="dxa"/>
              <w:right w:w="85" w:type="dxa"/>
            </w:tcMar>
            <w:shd w:fill="E9EEF2"/>
          </w:tcPr>
          <w:p>
            <w:pPr>
              <w:spacing w:after="60" w:before="40"/>
            </w:pPr>
            <w:r>
              <w:rPr>
                <w:b/>
                <w:sz w:val="20"/>
              </w:rPr>
              <w:t>Default</w:t>
            </w:r>
          </w:p>
        </w:tc>
        <w:tc>
          <w:tcPr>
            <w:tcW w:type="dxa" w:w="5616"/>
            <w:vAlign w:val="center"/>
            <w:tcMar>
              <w:top w:w="85" w:type="dxa"/>
              <w:left w:w="85" w:type="dxa"/>
              <w:bottom w:w="85" w:type="dxa"/>
              <w:right w:w="85" w:type="dxa"/>
            </w:tcMar>
            <w:shd w:fill="E9EEF2"/>
          </w:tcPr>
          <w:p>
            <w:pPr>
              <w:spacing w:after="60" w:before="40"/>
            </w:pPr>
            <w:r>
              <w:rPr>
                <w:b/>
                <w:sz w:val="20"/>
              </w:rPr>
              <w:t>Purpose / qualification</w:t>
            </w:r>
          </w:p>
        </w:tc>
      </w:tr>
      <w:tr>
        <w:trPr>
          <w:cantSplit/>
        </w:trPr>
        <w:tc>
          <w:tcPr>
            <w:tcW w:type="dxa" w:w="3384"/>
            <w:vAlign w:val="center"/>
            <w:tcMar>
              <w:top w:w="85" w:type="dxa"/>
              <w:left w:w="85" w:type="dxa"/>
              <w:bottom w:w="85" w:type="dxa"/>
              <w:right w:w="85" w:type="dxa"/>
            </w:tcMar>
          </w:tcPr>
          <w:p>
            <w:pPr>
              <w:spacing w:after="60" w:before="40"/>
            </w:pPr>
            <w:r>
              <w:rPr>
                <w:b w:val="0"/>
                <w:sz w:val="20"/>
              </w:rPr>
              <w:t>target-block-time</w:t>
            </w:r>
          </w:p>
        </w:tc>
        <w:tc>
          <w:tcPr>
            <w:tcW w:type="dxa" w:w="1152"/>
            <w:vAlign w:val="center"/>
            <w:tcMar>
              <w:top w:w="85" w:type="dxa"/>
              <w:left w:w="85" w:type="dxa"/>
              <w:bottom w:w="85" w:type="dxa"/>
              <w:right w:w="85" w:type="dxa"/>
            </w:tcMar>
          </w:tcPr>
          <w:p>
            <w:pPr>
              <w:spacing w:after="60" w:before="40"/>
            </w:pPr>
            <w:r>
              <w:rPr>
                <w:b w:val="0"/>
                <w:sz w:val="20"/>
              </w:rPr>
              <w:t>2 s</w:t>
            </w:r>
          </w:p>
        </w:tc>
        <w:tc>
          <w:tcPr>
            <w:tcW w:type="dxa" w:w="5616"/>
            <w:vAlign w:val="center"/>
            <w:tcMar>
              <w:top w:w="85" w:type="dxa"/>
              <w:left w:w="85" w:type="dxa"/>
              <w:bottom w:w="85" w:type="dxa"/>
              <w:right w:w="85" w:type="dxa"/>
            </w:tcMar>
          </w:tcPr>
          <w:p>
            <w:pPr>
              <w:spacing w:after="60" w:before="40"/>
            </w:pPr>
            <w:r>
              <w:rPr>
                <w:b w:val="0"/>
                <w:sz w:val="20"/>
              </w:rPr>
              <w:t>Target average; not a latency guarantee.</w:t>
            </w:r>
          </w:p>
        </w:tc>
      </w:tr>
      <w:tr>
        <w:trPr>
          <w:cantSplit/>
        </w:trPr>
        <w:tc>
          <w:tcPr>
            <w:tcW w:type="dxa" w:w="3384"/>
            <w:vAlign w:val="center"/>
            <w:tcMar>
              <w:top w:w="85" w:type="dxa"/>
              <w:left w:w="85" w:type="dxa"/>
              <w:bottom w:w="85" w:type="dxa"/>
              <w:right w:w="85" w:type="dxa"/>
            </w:tcMar>
          </w:tcPr>
          <w:p>
            <w:pPr>
              <w:spacing w:after="60" w:before="40"/>
            </w:pPr>
            <w:r>
              <w:rPr>
                <w:b w:val="0"/>
                <w:sz w:val="20"/>
              </w:rPr>
              <w:t>maximum-block-size</w:t>
            </w:r>
          </w:p>
        </w:tc>
        <w:tc>
          <w:tcPr>
            <w:tcW w:type="dxa" w:w="1152"/>
            <w:vAlign w:val="center"/>
            <w:tcMar>
              <w:top w:w="85" w:type="dxa"/>
              <w:left w:w="85" w:type="dxa"/>
              <w:bottom w:w="85" w:type="dxa"/>
              <w:right w:w="85" w:type="dxa"/>
            </w:tcMar>
          </w:tcPr>
          <w:p>
            <w:pPr>
              <w:spacing w:after="60" w:before="40"/>
            </w:pPr>
            <w:r>
              <w:rPr>
                <w:b w:val="0"/>
                <w:sz w:val="20"/>
              </w:rPr>
              <w:t>8,388,608</w:t>
            </w:r>
          </w:p>
        </w:tc>
        <w:tc>
          <w:tcPr>
            <w:tcW w:type="dxa" w:w="5616"/>
            <w:vAlign w:val="center"/>
            <w:tcMar>
              <w:top w:w="85" w:type="dxa"/>
              <w:left w:w="85" w:type="dxa"/>
              <w:bottom w:w="85" w:type="dxa"/>
              <w:right w:w="85" w:type="dxa"/>
            </w:tcMar>
          </w:tcPr>
          <w:p>
            <w:pPr>
              <w:spacing w:after="60" w:before="40"/>
            </w:pPr>
            <w:r>
              <w:rPr>
                <w:b w:val="0"/>
                <w:sz w:val="20"/>
              </w:rPr>
              <w:t>8 MiB maximum block size.</w:t>
            </w:r>
          </w:p>
        </w:tc>
      </w:tr>
      <w:tr>
        <w:trPr>
          <w:cantSplit/>
        </w:trPr>
        <w:tc>
          <w:tcPr>
            <w:tcW w:type="dxa" w:w="3384"/>
            <w:vAlign w:val="center"/>
            <w:tcMar>
              <w:top w:w="85" w:type="dxa"/>
              <w:left w:w="85" w:type="dxa"/>
              <w:bottom w:w="85" w:type="dxa"/>
              <w:right w:w="85" w:type="dxa"/>
            </w:tcMar>
          </w:tcPr>
          <w:p>
            <w:pPr>
              <w:spacing w:after="60" w:before="40"/>
            </w:pPr>
            <w:r>
              <w:rPr>
                <w:b w:val="0"/>
                <w:sz w:val="20"/>
              </w:rPr>
              <w:t>mining-diversity</w:t>
            </w:r>
          </w:p>
        </w:tc>
        <w:tc>
          <w:tcPr>
            <w:tcW w:type="dxa" w:w="1152"/>
            <w:vAlign w:val="center"/>
            <w:tcMar>
              <w:top w:w="85" w:type="dxa"/>
              <w:left w:w="85" w:type="dxa"/>
              <w:bottom w:w="85" w:type="dxa"/>
              <w:right w:w="85" w:type="dxa"/>
            </w:tcMar>
          </w:tcPr>
          <w:p>
            <w:pPr>
              <w:spacing w:after="60" w:before="40"/>
            </w:pPr>
            <w:r>
              <w:rPr>
                <w:b w:val="0"/>
                <w:sz w:val="20"/>
              </w:rPr>
              <w:t>0.6</w:t>
            </w:r>
          </w:p>
        </w:tc>
        <w:tc>
          <w:tcPr>
            <w:tcW w:type="dxa" w:w="5616"/>
            <w:vAlign w:val="center"/>
            <w:tcMar>
              <w:top w:w="85" w:type="dxa"/>
              <w:left w:w="85" w:type="dxa"/>
              <w:bottom w:w="85" w:type="dxa"/>
              <w:right w:w="85" w:type="dxa"/>
            </w:tcMar>
          </w:tcPr>
          <w:p>
            <w:pPr>
              <w:spacing w:after="60" w:before="40"/>
            </w:pPr>
            <w:r>
              <w:rPr>
                <w:b w:val="0"/>
                <w:sz w:val="20"/>
              </w:rPr>
              <w:t>Restricts repeated mining by recent miners.</w:t>
            </w:r>
          </w:p>
        </w:tc>
      </w:tr>
      <w:tr>
        <w:trPr>
          <w:cantSplit/>
        </w:trPr>
        <w:tc>
          <w:tcPr>
            <w:tcW w:type="dxa" w:w="3384"/>
            <w:vAlign w:val="center"/>
            <w:tcMar>
              <w:top w:w="85" w:type="dxa"/>
              <w:left w:w="85" w:type="dxa"/>
              <w:bottom w:w="85" w:type="dxa"/>
              <w:right w:w="85" w:type="dxa"/>
            </w:tcMar>
          </w:tcPr>
          <w:p>
            <w:pPr>
              <w:spacing w:after="60" w:before="40"/>
            </w:pPr>
            <w:r>
              <w:rPr>
                <w:b w:val="0"/>
                <w:sz w:val="20"/>
              </w:rPr>
              <w:t>mining-turnover</w:t>
            </w:r>
          </w:p>
        </w:tc>
        <w:tc>
          <w:tcPr>
            <w:tcW w:type="dxa" w:w="1152"/>
            <w:vAlign w:val="center"/>
            <w:tcMar>
              <w:top w:w="85" w:type="dxa"/>
              <w:left w:w="85" w:type="dxa"/>
              <w:bottom w:w="85" w:type="dxa"/>
              <w:right w:w="85" w:type="dxa"/>
            </w:tcMar>
          </w:tcPr>
          <w:p>
            <w:pPr>
              <w:spacing w:after="60" w:before="40"/>
            </w:pPr>
            <w:r>
              <w:rPr>
                <w:b w:val="0"/>
                <w:sz w:val="20"/>
              </w:rPr>
              <w:t>0</w:t>
            </w:r>
          </w:p>
        </w:tc>
        <w:tc>
          <w:tcPr>
            <w:tcW w:type="dxa" w:w="5616"/>
            <w:vAlign w:val="center"/>
            <w:tcMar>
              <w:top w:w="85" w:type="dxa"/>
              <w:left w:w="85" w:type="dxa"/>
              <w:bottom w:w="85" w:type="dxa"/>
              <w:right w:w="85" w:type="dxa"/>
            </w:tcMar>
          </w:tcPr>
          <w:p>
            <w:pPr>
              <w:spacing w:after="60" w:before="40"/>
            </w:pPr>
            <w:r>
              <w:rPr>
                <w:b w:val="0"/>
                <w:sz w:val="20"/>
              </w:rPr>
              <w:t>Low-turnover setting for this local lab.</w:t>
            </w:r>
          </w:p>
        </w:tc>
      </w:tr>
      <w:tr>
        <w:trPr>
          <w:cantSplit/>
        </w:trPr>
        <w:tc>
          <w:tcPr>
            <w:tcW w:type="dxa" w:w="3384"/>
            <w:vAlign w:val="center"/>
            <w:tcMar>
              <w:top w:w="85" w:type="dxa"/>
              <w:left w:w="85" w:type="dxa"/>
              <w:bottom w:w="85" w:type="dxa"/>
              <w:right w:w="85" w:type="dxa"/>
            </w:tcMar>
          </w:tcPr>
          <w:p>
            <w:pPr>
              <w:spacing w:after="60" w:before="40"/>
            </w:pPr>
            <w:r>
              <w:rPr>
                <w:b w:val="0"/>
                <w:sz w:val="20"/>
              </w:rPr>
              <w:t>mine-empty-rounds</w:t>
            </w:r>
          </w:p>
        </w:tc>
        <w:tc>
          <w:tcPr>
            <w:tcW w:type="dxa" w:w="1152"/>
            <w:vAlign w:val="center"/>
            <w:tcMar>
              <w:top w:w="85" w:type="dxa"/>
              <w:left w:w="85" w:type="dxa"/>
              <w:bottom w:w="85" w:type="dxa"/>
              <w:right w:w="85" w:type="dxa"/>
            </w:tcMar>
          </w:tcPr>
          <w:p>
            <w:pPr>
              <w:spacing w:after="60" w:before="40"/>
            </w:pPr>
            <w:r>
              <w:rPr>
                <w:b w:val="0"/>
                <w:sz w:val="20"/>
              </w:rPr>
              <w:t>-1</w:t>
            </w:r>
          </w:p>
        </w:tc>
        <w:tc>
          <w:tcPr>
            <w:tcW w:type="dxa" w:w="5616"/>
            <w:vAlign w:val="center"/>
            <w:tcMar>
              <w:top w:w="85" w:type="dxa"/>
              <w:left w:w="85" w:type="dxa"/>
              <w:bottom w:w="85" w:type="dxa"/>
              <w:right w:w="85" w:type="dxa"/>
            </w:tcMar>
          </w:tcPr>
          <w:p>
            <w:pPr>
              <w:spacing w:after="60" w:before="40"/>
            </w:pPr>
            <w:r>
              <w:rPr>
                <w:b w:val="0"/>
                <w:sz w:val="20"/>
              </w:rPr>
              <w:t>Keep blocks available for confirmation observations.</w:t>
            </w:r>
          </w:p>
        </w:tc>
      </w:tr>
      <w:tr>
        <w:trPr>
          <w:cantSplit/>
        </w:trPr>
        <w:tc>
          <w:tcPr>
            <w:tcW w:type="dxa" w:w="3384"/>
            <w:vAlign w:val="center"/>
            <w:tcMar>
              <w:top w:w="85" w:type="dxa"/>
              <w:left w:w="85" w:type="dxa"/>
              <w:bottom w:w="85" w:type="dxa"/>
              <w:right w:w="85" w:type="dxa"/>
            </w:tcMar>
          </w:tcPr>
          <w:p>
            <w:pPr>
              <w:spacing w:after="60" w:before="40"/>
            </w:pPr>
            <w:r>
              <w:rPr>
                <w:b w:val="0"/>
                <w:sz w:val="20"/>
              </w:rPr>
              <w:t>setup-first-blocks</w:t>
            </w:r>
          </w:p>
        </w:tc>
        <w:tc>
          <w:tcPr>
            <w:tcW w:type="dxa" w:w="1152"/>
            <w:vAlign w:val="center"/>
            <w:tcMar>
              <w:top w:w="85" w:type="dxa"/>
              <w:left w:w="85" w:type="dxa"/>
              <w:bottom w:w="85" w:type="dxa"/>
              <w:right w:w="85" w:type="dxa"/>
            </w:tcMar>
          </w:tcPr>
          <w:p>
            <w:pPr>
              <w:spacing w:after="60" w:before="40"/>
            </w:pPr>
            <w:r>
              <w:rPr>
                <w:b w:val="0"/>
                <w:sz w:val="20"/>
              </w:rPr>
              <w:t>10</w:t>
            </w:r>
          </w:p>
        </w:tc>
        <w:tc>
          <w:tcPr>
            <w:tcW w:type="dxa" w:w="5616"/>
            <w:vAlign w:val="center"/>
            <w:tcMar>
              <w:top w:w="85" w:type="dxa"/>
              <w:left w:w="85" w:type="dxa"/>
              <w:bottom w:w="85" w:type="dxa"/>
              <w:right w:w="85" w:type="dxa"/>
            </w:tcMar>
          </w:tcPr>
          <w:p>
            <w:pPr>
              <w:spacing w:after="60" w:before="40"/>
            </w:pPr>
            <w:r>
              <w:rPr>
                <w:b w:val="0"/>
                <w:sz w:val="20"/>
              </w:rPr>
              <w:t>Benchmark only after all nodes pass setup phase.</w:t>
            </w:r>
          </w:p>
        </w:tc>
      </w:tr>
      <w:tr>
        <w:trPr>
          <w:cantSplit/>
        </w:trPr>
        <w:tc>
          <w:tcPr>
            <w:tcW w:type="dxa" w:w="3384"/>
            <w:vAlign w:val="center"/>
            <w:tcMar>
              <w:top w:w="85" w:type="dxa"/>
              <w:left w:w="85" w:type="dxa"/>
              <w:bottom w:w="85" w:type="dxa"/>
              <w:right w:w="85" w:type="dxa"/>
            </w:tcMar>
          </w:tcPr>
          <w:p>
            <w:pPr>
              <w:spacing w:after="60" w:before="40"/>
            </w:pPr>
            <w:r>
              <w:rPr>
                <w:b w:val="0"/>
                <w:sz w:val="20"/>
              </w:rPr>
              <w:t>root-stream-open</w:t>
            </w:r>
          </w:p>
        </w:tc>
        <w:tc>
          <w:tcPr>
            <w:tcW w:type="dxa" w:w="1152"/>
            <w:vAlign w:val="center"/>
            <w:tcMar>
              <w:top w:w="85" w:type="dxa"/>
              <w:left w:w="85" w:type="dxa"/>
              <w:bottom w:w="85" w:type="dxa"/>
              <w:right w:w="85" w:type="dxa"/>
            </w:tcMar>
          </w:tcPr>
          <w:p>
            <w:pPr>
              <w:spacing w:after="60" w:before="40"/>
            </w:pPr>
            <w:r>
              <w:rPr>
                <w:b w:val="0"/>
                <w:sz w:val="20"/>
              </w:rPr>
              <w:t>false</w:t>
            </w:r>
          </w:p>
        </w:tc>
        <w:tc>
          <w:tcPr>
            <w:tcW w:type="dxa" w:w="5616"/>
            <w:vAlign w:val="center"/>
            <w:tcMar>
              <w:top w:w="85" w:type="dxa"/>
              <w:left w:w="85" w:type="dxa"/>
              <w:bottom w:w="85" w:type="dxa"/>
              <w:right w:w="85" w:type="dxa"/>
            </w:tcMar>
          </w:tcPr>
          <w:p>
            <w:pPr>
              <w:spacing w:after="60" w:before="40"/>
            </w:pPr>
            <w:r>
              <w:rPr>
                <w:b w:val="0"/>
                <w:sz w:val="20"/>
              </w:rPr>
              <w:t>Root writes are restricted.</w:t>
            </w:r>
          </w:p>
        </w:tc>
      </w:tr>
      <w:tr>
        <w:trPr>
          <w:cantSplit/>
        </w:trPr>
        <w:tc>
          <w:tcPr>
            <w:tcW w:type="dxa" w:w="3384"/>
            <w:vAlign w:val="center"/>
            <w:tcMar>
              <w:top w:w="85" w:type="dxa"/>
              <w:left w:w="85" w:type="dxa"/>
              <w:bottom w:w="85" w:type="dxa"/>
              <w:right w:w="85" w:type="dxa"/>
            </w:tcMar>
          </w:tcPr>
          <w:p>
            <w:pPr>
              <w:spacing w:after="60" w:before="40"/>
            </w:pPr>
            <w:r>
              <w:rPr>
                <w:b w:val="0"/>
                <w:sz w:val="20"/>
              </w:rPr>
              <w:t>anyone-can-* selected flags</w:t>
            </w:r>
          </w:p>
        </w:tc>
        <w:tc>
          <w:tcPr>
            <w:tcW w:type="dxa" w:w="1152"/>
            <w:vAlign w:val="center"/>
            <w:tcMar>
              <w:top w:w="85" w:type="dxa"/>
              <w:left w:w="85" w:type="dxa"/>
              <w:bottom w:w="85" w:type="dxa"/>
              <w:right w:w="85" w:type="dxa"/>
            </w:tcMar>
          </w:tcPr>
          <w:p>
            <w:pPr>
              <w:spacing w:after="60" w:before="40"/>
            </w:pPr>
            <w:r>
              <w:rPr>
                <w:b w:val="0"/>
                <w:sz w:val="20"/>
              </w:rPr>
              <w:t>false</w:t>
            </w:r>
          </w:p>
        </w:tc>
        <w:tc>
          <w:tcPr>
            <w:tcW w:type="dxa" w:w="5616"/>
            <w:vAlign w:val="center"/>
            <w:tcMar>
              <w:top w:w="85" w:type="dxa"/>
              <w:left w:w="85" w:type="dxa"/>
              <w:bottom w:w="85" w:type="dxa"/>
              <w:right w:w="85" w:type="dxa"/>
            </w:tcMar>
          </w:tcPr>
          <w:p>
            <w:pPr>
              <w:spacing w:after="60" w:before="40"/>
            </w:pPr>
            <w:r>
              <w:rPr>
                <w:b w:val="0"/>
                <w:sz w:val="20"/>
              </w:rPr>
              <w:t>Explicit connect/send/receive/create/issue/mine/admin grants.</w:t>
            </w:r>
          </w:p>
        </w:tc>
      </w:tr>
    </w:tbl>
    <w:p/>
    <w:p>
      <w:r>
        <w:t>These are requested defaults from setup(), not a substitute for captured runtime evidence. Use getblockchainparams to record actual values. The parameter example file is not a complete params.dat and must not overwrite an existing chain. [C; 3]</w:t>
      </w:r>
    </w:p>
    <w:p>
      <w:pPr>
        <w:pStyle w:val="Heading2"/>
      </w:pPr>
      <w:r>
        <w:t>Creation-time versus runtime settings</w:t>
      </w:r>
    </w:p>
    <w:p>
      <w:r>
        <w:t>Chain parameters are supplied before genesis using multichain-util overrides. Runtime configuration sets per-node RPC credentials, ports and loopback binding, plus txindex=1, rpcthreads=16 and automatic stream/asset subscription. The live configuration stays private. [C; 2, 3]</w:t>
      </w:r>
    </w:p>
    <w:p>
      <w:pPr>
        <w:pStyle w:val="Heading2"/>
      </w:pPr>
      <w:r>
        <w:t>Mining authorization versus waiting</w:t>
      </w:r>
    </w:p>
    <w:p>
      <w:r>
        <w:t>The v2.0.2 checker uses listminers.permitted for effective authorization. diversitywaitblocks is a separate wait. An authorized miner waiting its turn is not an unpermissioned node. Do not disable diversity or grant extra administration simply to obtain a green screenshot. [C; 4]</w:t>
      </w:r>
    </w:p>
    <w:p>
      <w:r>
        <w:br w:type="page"/>
      </w:r>
    </w:p>
    <w:p>
      <w:pPr>
        <w:pStyle w:val="Heading1"/>
      </w:pPr>
      <w:r>
        <w:t>7. Complete setup / restart workflow</w:t>
      </w:r>
    </w:p>
    <w:p>
      <w:pPr>
        <w:keepNext/>
        <w:spacing w:after="60"/>
        <w:jc w:val="center"/>
      </w:pPr>
      <w:r>
        <w:drawing>
          <wp:inline xmlns:a="http://schemas.openxmlformats.org/drawingml/2006/main" xmlns:pic="http://schemas.openxmlformats.org/drawingml/2006/picture">
            <wp:extent cx="5168108" cy="6949440"/>
            <wp:docPr id="4" name="Picture 4"/>
            <wp:cNvGraphicFramePr>
              <a:graphicFrameLocks noChangeAspect="1"/>
            </wp:cNvGraphicFramePr>
            <a:graphic>
              <a:graphicData uri="http://schemas.openxmlformats.org/drawingml/2006/picture">
                <pic:pic>
                  <pic:nvPicPr>
                    <pic:cNvPr id="0" name="F04_setup_workflow.png"/>
                    <pic:cNvPicPr/>
                  </pic:nvPicPr>
                  <pic:blipFill>
                    <a:blip r:embed="rId13"/>
                    <a:stretch>
                      <a:fillRect/>
                    </a:stretch>
                  </pic:blipFill>
                  <pic:spPr>
                    <a:xfrm>
                      <a:off x="0" y="0"/>
                      <a:ext cx="5168108" cy="6949440"/>
                    </a:xfrm>
                    <a:prstGeom prst="rect"/>
                  </pic:spPr>
                </pic:pic>
              </a:graphicData>
            </a:graphic>
          </wp:inline>
        </w:drawing>
      </w:r>
    </w:p>
    <w:p>
      <w:pPr>
        <w:pStyle w:val="Caption"/>
      </w:pPr>
      <w:r>
        <w:t>Figure F04. Code-derived bootstrap and reuse flow [C]. start reuses existing state; setup creates new state; repair resumes incomplete setup without deleting wallets.</w:t>
      </w:r>
    </w:p>
    <w:p>
      <w:r>
        <w:t>Read the actual step output and stop on failure. A green readiness check is the entry condition for functional tests, not a throughput result.</w:t>
      </w:r>
    </w:p>
    <w:p>
      <w:r>
        <w:br w:type="page"/>
      </w:r>
    </w:p>
    <w:p>
      <w:pPr>
        <w:pStyle w:val="Heading1"/>
      </w:pPr>
      <w:r>
        <w:t>8. User validation and enrollment</w:t>
      </w:r>
    </w:p>
    <w:p>
      <w:pPr>
        <w:keepNext/>
        <w:spacing w:after="60"/>
        <w:jc w:val="center"/>
      </w:pPr>
      <w:r>
        <w:drawing>
          <wp:inline xmlns:a="http://schemas.openxmlformats.org/drawingml/2006/main" xmlns:pic="http://schemas.openxmlformats.org/drawingml/2006/picture">
            <wp:extent cx="5712341" cy="5760720"/>
            <wp:docPr id="5" name="Picture 5"/>
            <wp:cNvGraphicFramePr>
              <a:graphicFrameLocks noChangeAspect="1"/>
            </wp:cNvGraphicFramePr>
            <a:graphic>
              <a:graphicData uri="http://schemas.openxmlformats.org/drawingml/2006/picture">
                <pic:pic>
                  <pic:nvPicPr>
                    <pic:cNvPr id="0" name="F05_enrollment.png"/>
                    <pic:cNvPicPr/>
                  </pic:nvPicPr>
                  <pic:blipFill>
                    <a:blip r:embed="rId14"/>
                    <a:stretch>
                      <a:fillRect/>
                    </a:stretch>
                  </pic:blipFill>
                  <pic:spPr>
                    <a:xfrm>
                      <a:off x="0" y="0"/>
                      <a:ext cx="5712341" cy="5760720"/>
                    </a:xfrm>
                    <a:prstGeom prst="rect"/>
                  </pic:spPr>
                </pic:pic>
              </a:graphicData>
            </a:graphic>
          </wp:inline>
        </w:drawing>
      </w:r>
    </w:p>
    <w:p>
      <w:pPr>
        <w:pStyle w:val="Caption"/>
      </w:pPr>
      <w:r>
        <w:t>Figure F05. Signed enrollment [C]. The challenge binds the wallet, role and chain instance, while consumed nonces remain local private state.</w:t>
      </w:r>
    </w:p>
    <w:p>
      <w:r>
        <w:t>Security tests exercise key possession, replay, wrong-key signing, role substitution and expiry. Enrollment records are signed publications by the authority. The gateway checks confirmed registration and the chain enforces granted stream rights. [C]</w:t>
      </w:r>
    </w:p>
    <w:p>
      <w:r>
        <w:t>This is the bounded extension connected to the paper's conclusion. Operator identity approval and local nonce storage remain trust assumptions; it is not decentralized KYC or an anonymity protocol. [1, Section VII; C]</w:t>
      </w:r>
    </w:p>
    <w:p>
      <w:r>
        <w:br w:type="page"/>
      </w:r>
    </w:p>
    <w:p>
      <w:pPr>
        <w:pStyle w:val="Heading1"/>
      </w:pPr>
      <w:r>
        <w:t>9. Article-to-decision implementation</w:t>
      </w:r>
    </w:p>
    <w:p>
      <w:pPr>
        <w:keepNext/>
        <w:spacing w:after="60"/>
        <w:jc w:val="center"/>
      </w:pPr>
      <w:r>
        <w:drawing>
          <wp:inline xmlns:a="http://schemas.openxmlformats.org/drawingml/2006/main" xmlns:pic="http://schemas.openxmlformats.org/drawingml/2006/picture">
            <wp:extent cx="5137336" cy="6583680"/>
            <wp:docPr id="6" name="Picture 6"/>
            <wp:cNvGraphicFramePr>
              <a:graphicFrameLocks noChangeAspect="1"/>
            </wp:cNvGraphicFramePr>
            <a:graphic>
              <a:graphicData uri="http://schemas.openxmlformats.org/drawingml/2006/picture">
                <pic:pic>
                  <pic:nvPicPr>
                    <pic:cNvPr id="0" name="F06_article_workflow.png"/>
                    <pic:cNvPicPr/>
                  </pic:nvPicPr>
                  <pic:blipFill>
                    <a:blip r:embed="rId15"/>
                    <a:stretch>
                      <a:fillRect/>
                    </a:stretch>
                  </pic:blipFill>
                  <pic:spPr>
                    <a:xfrm>
                      <a:off x="0" y="0"/>
                      <a:ext cx="5137336" cy="6583680"/>
                    </a:xfrm>
                    <a:prstGeom prst="rect"/>
                  </pic:spPr>
                </pic:pic>
              </a:graphicData>
            </a:graphic>
          </wp:inline>
        </w:drawing>
      </w:r>
    </w:p>
    <w:p>
      <w:pPr>
        <w:pStyle w:val="Caption"/>
      </w:pPr>
      <w:r>
        <w:t>Figure F06. Five-publication workflow [C]: news, prediction, reviewer 1 vote, reviewer 2 vote and authority decision. Auditor inspection is a read/recompute step.</w:t>
      </w:r>
    </w:p>
    <w:p>
      <w:r>
        <w:t>The text hash binds reviews to content; the news txid binds them to the specific publication. Predictions are recommendations. Fixture-mode votes follow classroom labels, not independent evidence gathering.</w:t>
      </w:r>
    </w:p>
    <w:p>
      <w:r>
        <w:br w:type="page"/>
      </w:r>
    </w:p>
    <w:p>
      <w:pPr>
        <w:pStyle w:val="Heading1"/>
      </w:pPr>
      <w:r>
        <w:t>10. Decision logic and audit boundaries</w:t>
      </w:r>
    </w:p>
    <w:p>
      <w:pPr>
        <w:keepNext/>
        <w:spacing w:after="60"/>
        <w:jc w:val="center"/>
      </w:pPr>
      <w:r>
        <w:drawing>
          <wp:inline xmlns:a="http://schemas.openxmlformats.org/drawingml/2006/main" xmlns:pic="http://schemas.openxmlformats.org/drawingml/2006/picture">
            <wp:extent cx="6400800" cy="5785944"/>
            <wp:docPr id="7" name="Picture 7"/>
            <wp:cNvGraphicFramePr>
              <a:graphicFrameLocks noChangeAspect="1"/>
            </wp:cNvGraphicFramePr>
            <a:graphic>
              <a:graphicData uri="http://schemas.openxmlformats.org/drawingml/2006/picture">
                <pic:pic>
                  <pic:nvPicPr>
                    <pic:cNvPr id="0" name="F07_decision_policy.png"/>
                    <pic:cNvPicPr/>
                  </pic:nvPicPr>
                  <pic:blipFill>
                    <a:blip r:embed="rId16"/>
                    <a:stretch>
                      <a:fillRect/>
                    </a:stretch>
                  </pic:blipFill>
                  <pic:spPr>
                    <a:xfrm>
                      <a:off x="0" y="0"/>
                      <a:ext cx="6400800" cy="5785944"/>
                    </a:xfrm>
                    <a:prstGeom prst="rect"/>
                  </pic:spPr>
                </pic:pic>
              </a:graphicData>
            </a:graphic>
          </wp:inline>
        </w:drawing>
      </w:r>
    </w:p>
    <w:p>
      <w:pPr>
        <w:pStyle w:val="Caption"/>
      </w:pPr>
      <w:r>
        <w:t>Figure F07. Native miner consensus does not run this Python decision policy [C]. Preconditions can raise errors; insufficient or conflicting review evidence produces REVIEW.</w:t>
      </w:r>
    </w:p>
    <w:p>
      <w:r>
        <w:t>The auditor validates the confirmed article and decision publishers, content hash, referenced vote IDs, article transaction binding and recomputed label. Its audit does not reconstruct all historical permissions or guarantee completeness of all possible conflicting evidence. [C, Lab.inspect]</w:t>
      </w:r>
    </w:p>
    <w:p>
      <w:r>
        <w:t>Separate these claims in the report: transaction recorded, reference integrity verified, reviewer agreement observed, and factual truth established. The first three do not imply the fourth.</w:t>
      </w:r>
    </w:p>
    <w:p>
      <w:r>
        <w:br w:type="page"/>
      </w:r>
    </w:p>
    <w:p>
      <w:pPr>
        <w:pStyle w:val="Heading1"/>
      </w:pPr>
      <w:r>
        <w:t>11. Teaching model, records and asset</w:t>
      </w:r>
    </w:p>
    <w:p>
      <w:pPr>
        <w:pStyle w:val="Heading2"/>
      </w:pPr>
      <w:r>
        <w:t>Off-chain NLP and learning [C]</w:t>
      </w:r>
    </w:p>
    <w:p>
      <w:r>
        <w:t>The included CSV contains 32 classroom records: 24 training and 8 test rows. The tokenizer handles English alphabetic tokens and preserves negation. TF-IDF vectors provide cosine evidence. A lexical-count state indexes a terminal Q-learning policy with gamma=0, alpha=0.1 and epsilon=0.2; the default training uses 250 epochs and seed 42. This is a contextual-bandit-style simplification, not the paper's deep RL.</w:t>
      </w:r>
    </w:p>
    <w:p>
      <w:r>
        <w:t>If maximum similarity is below 0.35, the recommendation becomes REVIEW. Similarity is not calibrated truth probability. Model evaluation reports coverage and accuracy on this tiny fixture, not research accuracy or a successful reproduction of the paper. [C]</w:t>
      </w:r>
    </w:p>
    <w:tbl>
      <w:tblPr>
        <w:tblW w:type="auto" w:w="0"/>
        <w:jc w:val="center"/>
        <w:tblLayout w:type="fixed"/>
        <w:tblLook w:firstColumn="1" w:firstRow="1" w:lastColumn="0" w:lastRow="0" w:noHBand="0" w:noVBand="1" w:val="04A0"/>
      </w:tblPr>
      <w:tblGrid>
        <w:gridCol w:w="1944"/>
        <w:gridCol w:w="8208"/>
      </w:tblGrid>
      <w:tr>
        <w:trPr>
          <w:cantSplit/>
          <w:tblHeader/>
        </w:trPr>
        <w:tc>
          <w:tcPr>
            <w:tcW w:type="dxa" w:w="1944"/>
            <w:vAlign w:val="center"/>
            <w:tcMar>
              <w:top w:w="85" w:type="dxa"/>
              <w:left w:w="85" w:type="dxa"/>
              <w:bottom w:w="85" w:type="dxa"/>
              <w:right w:w="85" w:type="dxa"/>
            </w:tcMar>
            <w:shd w:fill="E9EEF2"/>
          </w:tcPr>
          <w:p>
            <w:pPr>
              <w:spacing w:after="60" w:before="40"/>
            </w:pPr>
            <w:r>
              <w:rPr>
                <w:b/>
                <w:sz w:val="20"/>
              </w:rPr>
              <w:t>Record</w:t>
            </w:r>
          </w:p>
        </w:tc>
        <w:tc>
          <w:tcPr>
            <w:tcW w:type="dxa" w:w="8208"/>
            <w:vAlign w:val="center"/>
            <w:tcMar>
              <w:top w:w="85" w:type="dxa"/>
              <w:left w:w="85" w:type="dxa"/>
              <w:bottom w:w="85" w:type="dxa"/>
              <w:right w:w="85" w:type="dxa"/>
            </w:tcMar>
            <w:shd w:fill="E9EEF2"/>
          </w:tcPr>
          <w:p>
            <w:pPr>
              <w:spacing w:after="60" w:before="40"/>
            </w:pPr>
            <w:r>
              <w:rPr>
                <w:b/>
                <w:sz w:val="20"/>
              </w:rPr>
              <w:t>Key fields and purpose</w:t>
            </w:r>
          </w:p>
        </w:tc>
      </w:tr>
      <w:tr>
        <w:trPr>
          <w:cantSplit/>
        </w:trPr>
        <w:tc>
          <w:tcPr>
            <w:tcW w:type="dxa" w:w="1944"/>
            <w:vAlign w:val="center"/>
            <w:tcMar>
              <w:top w:w="85" w:type="dxa"/>
              <w:left w:w="85" w:type="dxa"/>
              <w:bottom w:w="85" w:type="dxa"/>
              <w:right w:w="85" w:type="dxa"/>
            </w:tcMar>
          </w:tcPr>
          <w:p>
            <w:pPr>
              <w:spacing w:after="60" w:before="40"/>
            </w:pPr>
            <w:r>
              <w:rPr>
                <w:b w:val="0"/>
                <w:sz w:val="20"/>
              </w:rPr>
              <w:t>news</w:t>
            </w:r>
          </w:p>
        </w:tc>
        <w:tc>
          <w:tcPr>
            <w:tcW w:type="dxa" w:w="8208"/>
            <w:vAlign w:val="center"/>
            <w:tcMar>
              <w:top w:w="85" w:type="dxa"/>
              <w:left w:w="85" w:type="dxa"/>
              <w:bottom w:w="85" w:type="dxa"/>
              <w:right w:w="85" w:type="dxa"/>
            </w:tcMar>
          </w:tcPr>
          <w:p>
            <w:pPr>
              <w:spacing w:after="60" w:before="40"/>
            </w:pPr>
            <w:r>
              <w:rPr>
                <w:b w:val="0"/>
                <w:sz w:val="20"/>
              </w:rPr>
              <w:t>news_id, text, content_sha256, publisher_address, created_at, run_id</w:t>
            </w:r>
          </w:p>
        </w:tc>
      </w:tr>
      <w:tr>
        <w:trPr>
          <w:cantSplit/>
        </w:trPr>
        <w:tc>
          <w:tcPr>
            <w:tcW w:type="dxa" w:w="1944"/>
            <w:vAlign w:val="center"/>
            <w:tcMar>
              <w:top w:w="85" w:type="dxa"/>
              <w:left w:w="85" w:type="dxa"/>
              <w:bottom w:w="85" w:type="dxa"/>
              <w:right w:w="85" w:type="dxa"/>
            </w:tcMar>
          </w:tcPr>
          <w:p>
            <w:pPr>
              <w:spacing w:after="60" w:before="40"/>
            </w:pPr>
            <w:r>
              <w:rPr>
                <w:b w:val="0"/>
                <w:sz w:val="20"/>
              </w:rPr>
              <w:t>predictions</w:t>
            </w:r>
          </w:p>
        </w:tc>
        <w:tc>
          <w:tcPr>
            <w:tcW w:type="dxa" w:w="8208"/>
            <w:vAlign w:val="center"/>
            <w:tcMar>
              <w:top w:w="85" w:type="dxa"/>
              <w:left w:w="85" w:type="dxa"/>
              <w:bottom w:w="85" w:type="dxa"/>
              <w:right w:w="85" w:type="dxa"/>
            </w:tcMar>
          </w:tcPr>
          <w:p>
            <w:pPr>
              <w:spacing w:after="60" w:before="40"/>
            </w:pPr>
            <w:r>
              <w:rPr>
                <w:b w:val="0"/>
                <w:sz w:val="20"/>
              </w:rPr>
              <w:t>news_id, news_txid, content hash, model hash, label, similarities and threshold</w:t>
            </w:r>
          </w:p>
        </w:tc>
      </w:tr>
      <w:tr>
        <w:trPr>
          <w:cantSplit/>
        </w:trPr>
        <w:tc>
          <w:tcPr>
            <w:tcW w:type="dxa" w:w="1944"/>
            <w:vAlign w:val="center"/>
            <w:tcMar>
              <w:top w:w="85" w:type="dxa"/>
              <w:left w:w="85" w:type="dxa"/>
              <w:bottom w:w="85" w:type="dxa"/>
              <w:right w:w="85" w:type="dxa"/>
            </w:tcMar>
          </w:tcPr>
          <w:p>
            <w:pPr>
              <w:spacing w:after="60" w:before="40"/>
            </w:pPr>
            <w:r>
              <w:rPr>
                <w:b w:val="0"/>
                <w:sz w:val="20"/>
              </w:rPr>
              <w:t>votes</w:t>
            </w:r>
          </w:p>
        </w:tc>
        <w:tc>
          <w:tcPr>
            <w:tcW w:type="dxa" w:w="8208"/>
            <w:vAlign w:val="center"/>
            <w:tcMar>
              <w:top w:w="85" w:type="dxa"/>
              <w:left w:w="85" w:type="dxa"/>
              <w:bottom w:w="85" w:type="dxa"/>
              <w:right w:w="85" w:type="dxa"/>
            </w:tcMar>
          </w:tcPr>
          <w:p>
            <w:pPr>
              <w:spacing w:after="60" w:before="40"/>
            </w:pPr>
            <w:r>
              <w:rPr>
                <w:b w:val="0"/>
                <w:sz w:val="20"/>
              </w:rPr>
              <w:t>validator_address, news_id, news_txid, content hash, label and reason</w:t>
            </w:r>
          </w:p>
        </w:tc>
      </w:tr>
      <w:tr>
        <w:trPr>
          <w:cantSplit/>
        </w:trPr>
        <w:tc>
          <w:tcPr>
            <w:tcW w:type="dxa" w:w="1944"/>
            <w:vAlign w:val="center"/>
            <w:tcMar>
              <w:top w:w="85" w:type="dxa"/>
              <w:left w:w="85" w:type="dxa"/>
              <w:bottom w:w="85" w:type="dxa"/>
              <w:right w:w="85" w:type="dxa"/>
            </w:tcMar>
          </w:tcPr>
          <w:p>
            <w:pPr>
              <w:spacing w:after="60" w:before="40"/>
            </w:pPr>
            <w:r>
              <w:rPr>
                <w:b w:val="0"/>
                <w:sz w:val="20"/>
              </w:rPr>
              <w:t>decisions</w:t>
            </w:r>
          </w:p>
        </w:tc>
        <w:tc>
          <w:tcPr>
            <w:tcW w:type="dxa" w:w="8208"/>
            <w:vAlign w:val="center"/>
            <w:tcMar>
              <w:top w:w="85" w:type="dxa"/>
              <w:left w:w="85" w:type="dxa"/>
              <w:bottom w:w="85" w:type="dxa"/>
              <w:right w:w="85" w:type="dxa"/>
            </w:tcMar>
          </w:tcPr>
          <w:p>
            <w:pPr>
              <w:spacing w:after="60" w:before="40"/>
            </w:pPr>
            <w:r>
              <w:rPr>
                <w:b w:val="0"/>
                <w:sz w:val="20"/>
              </w:rPr>
              <w:t>policy name, article reference, content hash, label, reasons and vote txids</w:t>
            </w:r>
          </w:p>
        </w:tc>
      </w:tr>
    </w:tbl>
    <w:p/>
    <w:p>
      <w:pPr>
        <w:pStyle w:val="Heading2"/>
      </w:pPr>
      <w:r>
        <w:t>Asset and credibility are different</w:t>
      </w:r>
    </w:p>
    <w:p>
      <w:r>
        <w:t>NewsCredit is issued once as 1,000 indivisible demonstration units. reward explicitly transfers units; it does not award native mining currency. reputation derives clip(50 + 5*REAL - 10*FAKE, 0, 100) from authority-issued decisions. This is a teaching score, not the paper's formula, and it does not automatically change mining or publishing permissions. [C]</w:t>
      </w:r>
    </w:p>
    <w:p>
      <w:r>
        <w:br w:type="page"/>
      </w:r>
    </w:p>
    <w:p>
      <w:pPr>
        <w:pStyle w:val="Heading1"/>
      </w:pPr>
      <w:r>
        <w:t>12. Execution and evidence collection</w:t>
      </w:r>
    </w:p>
    <w:p>
      <w:r>
        <w:t>Run commands from the new source folder, while pointing --workspace at the existing private workspace. All source/test files are included. No network reset is necessary. The full Windows paths and self-contained command blocks are in README.md and docs/WORKFLOW.md.</w:t>
      </w:r>
    </w:p>
    <w:p>
      <w:pPr>
        <w:pStyle w:val="CodeBlock"/>
      </w:pPr>
      <w:r>
        <w:rPr>
          <w:rFonts w:ascii="DejaVu Sans Mono" w:hAnsi="DejaVu Sans Mono"/>
          <w:sz w:val="17"/>
        </w:rPr>
        <w:t>python -m unittest -v test_lab test_recovery test_mining_permissions test_submission_tools</w:t>
      </w:r>
    </w:p>
    <w:p>
      <w:pPr>
        <w:pStyle w:val="CodeBlock"/>
      </w:pPr>
      <w:r>
        <w:rPr>
          <w:rFonts w:ascii="DejaVu Sans Mono" w:hAnsi="DejaVu Sans Mono"/>
          <w:sz w:val="17"/>
        </w:rPr>
        <w:t>python lab.py --version</w:t>
      </w:r>
    </w:p>
    <w:p>
      <w:pPr>
        <w:pStyle w:val="Heading2"/>
      </w:pPr>
      <w:r>
        <w:t>Existing workspace: sequence</w:t>
      </w:r>
    </w:p>
    <w:p>
      <w:pPr>
        <w:pStyle w:val="CodeBlock"/>
      </w:pPr>
      <w:r>
        <w:rPr>
          <w:rFonts w:ascii="DejaVu Sans Mono" w:hAnsi="DejaVu Sans Mono"/>
          <w:sz w:val="17"/>
        </w:rPr>
        <w:t># Set this to the actual saved workspace before using the commands.</w:t>
      </w:r>
    </w:p>
    <w:p>
      <w:pPr>
        <w:pStyle w:val="CodeBlock"/>
      </w:pPr>
      <w:r>
        <w:rPr>
          <w:rFonts w:ascii="DejaVu Sans Mono" w:hAnsi="DejaVu Sans Mono"/>
          <w:sz w:val="17"/>
        </w:rPr>
        <w:t>$W = Read-Host "Enter the existing workspace directory"</w:t>
      </w:r>
    </w:p>
    <w:p>
      <w:pPr>
        <w:pStyle w:val="CodeBlock"/>
      </w:pPr>
      <w:r>
        <w:rPr>
          <w:rFonts w:ascii="DejaVu Sans Mono" w:hAnsi="DejaVu Sans Mono"/>
          <w:sz w:val="17"/>
        </w:rPr>
        <w:t>python .\lab.py --workspace "$W" start</w:t>
      </w:r>
    </w:p>
    <w:p>
      <w:pPr>
        <w:pStyle w:val="CodeBlock"/>
      </w:pPr>
      <w:r>
        <w:rPr>
          <w:rFonts w:ascii="DejaVu Sans Mono" w:hAnsi="DejaVu Sans Mono"/>
          <w:sz w:val="17"/>
        </w:rPr>
        <w:t>python .\lab.py --workspace "$W" doctor</w:t>
      </w:r>
    </w:p>
    <w:p>
      <w:pPr>
        <w:pStyle w:val="CodeBlock"/>
      </w:pPr>
      <w:r>
        <w:rPr>
          <w:rFonts w:ascii="DejaVu Sans Mono" w:hAnsi="DejaVu Sans Mono"/>
          <w:sz w:val="17"/>
        </w:rPr>
        <w:t># Continue only after readiness passes.</w:t>
      </w:r>
    </w:p>
    <w:p>
      <w:pPr>
        <w:pStyle w:val="CodeBlock"/>
      </w:pPr>
      <w:r>
        <w:rPr>
          <w:rFonts w:ascii="DejaVu Sans Mono" w:hAnsi="DejaVu Sans Mono"/>
          <w:sz w:val="17"/>
        </w:rPr>
        <w:t>python .\lab.py --workspace "$W" demo</w:t>
      </w:r>
    </w:p>
    <w:p>
      <w:pPr>
        <w:pStyle w:val="CodeBlock"/>
      </w:pPr>
      <w:r>
        <w:rPr>
          <w:rFonts w:ascii="DejaVu Sans Mono" w:hAnsi="DejaVu Sans Mono"/>
          <w:sz w:val="17"/>
        </w:rPr>
        <w:t>python .\lab.py --workspace "$W" security-tests</w:t>
      </w:r>
    </w:p>
    <w:p>
      <w:pPr>
        <w:pStyle w:val="CodeBlock"/>
      </w:pPr>
      <w:r>
        <w:rPr>
          <w:rFonts w:ascii="DejaVu Sans Mono" w:hAnsi="DejaVu Sans Mono"/>
          <w:sz w:val="17"/>
        </w:rPr>
        <w:t>python .\lab.py --workspace "$W" benchmark --n 10 --workers 2</w:t>
      </w:r>
    </w:p>
    <w:p>
      <w:pPr>
        <w:pStyle w:val="CodeBlock"/>
      </w:pPr>
      <w:r>
        <w:rPr>
          <w:rFonts w:ascii="DejaVu Sans Mono" w:hAnsi="DejaVu Sans Mono"/>
          <w:sz w:val="17"/>
        </w:rPr>
        <w:t># Continue only after the small test passes.</w:t>
      </w:r>
    </w:p>
    <w:p>
      <w:pPr>
        <w:pStyle w:val="CodeBlock"/>
      </w:pPr>
      <w:r>
        <w:rPr>
          <w:rFonts w:ascii="DejaVu Sans Mono" w:hAnsi="DejaVu Sans Mono"/>
          <w:sz w:val="17"/>
        </w:rPr>
        <w:t>python .\lab.py --workspace "$W" benchmark --n 1000 --workers 10</w:t>
      </w:r>
    </w:p>
    <w:p>
      <w:pPr>
        <w:pStyle w:val="CodeBlock"/>
      </w:pPr>
      <w:r>
        <w:rPr>
          <w:rFonts w:ascii="DejaVu Sans Mono" w:hAnsi="DejaVu Sans Mono"/>
          <w:sz w:val="17"/>
        </w:rPr>
        <w:t>python .\lab.py --workspace "$W" capture</w:t>
      </w:r>
    </w:p>
    <w:p>
      <w:r>
        <w:t>These lines describe the order. Use the fail-fast collector for an automated run that stops on an error. A new PowerShell window does not retain $W from a previous one.</w:t>
      </w:r>
    </w:p>
    <w:p>
      <w:pPr>
        <w:pStyle w:val="Heading2"/>
      </w:pPr>
      <w:r>
        <w:t>Collector and publication-safe export</w:t>
      </w:r>
    </w:p>
    <w:p>
      <w:pPr>
        <w:pStyle w:val="CodeBlock"/>
      </w:pPr>
      <w:r>
        <w:rPr>
          <w:rFonts w:ascii="DejaVu Sans Mono" w:hAnsi="DejaVu Sans Mono"/>
          <w:sz w:val="17"/>
        </w:rPr>
        <w:t>$W = Read-Host "Enter the existing workspace directory"</w:t>
      </w:r>
    </w:p>
    <w:p>
      <w:pPr>
        <w:pStyle w:val="CodeBlock"/>
      </w:pPr>
      <w:r>
        <w:rPr>
          <w:rFonts w:ascii="DejaVu Sans Mono" w:hAnsi="DejaVu Sans Mono"/>
          <w:sz w:val="17"/>
        </w:rPr>
        <w:t>python .\tools\collect_evidence.py --workspace "$W" --run-live-tests</w:t>
      </w:r>
    </w:p>
    <w:p>
      <w:pPr>
        <w:pStyle w:val="CodeBlock"/>
      </w:pPr>
      <w:r>
        <w:rPr>
          <w:rFonts w:ascii="DejaVu Sans Mono" w:hAnsi="DejaVu Sans Mono"/>
          <w:sz w:val="17"/>
        </w:rPr>
        <w:t># Run the exporter only after reviewing the collection result.</w:t>
      </w:r>
    </w:p>
    <w:p>
      <w:pPr>
        <w:pStyle w:val="CodeBlock"/>
      </w:pPr>
      <w:r>
        <w:rPr>
          <w:rFonts w:ascii="DejaVu Sans Mono" w:hAnsi="DejaVu Sans Mono"/>
          <w:sz w:val="17"/>
        </w:rPr>
        <w:t>python .\tools\export_evidence.py --workspace "$W"</w:t>
      </w:r>
    </w:p>
    <w:p>
      <w:r>
        <w:t>The collector runs real fixture writes and temporary permission changes only with --run-live-tests. The exporter uses an allowlist, excludes wallets/configuration, redacts local paths and records original/exported hashes. It cannot guarantee that arbitrary news text or manually added screenshots contain no private information.</w:t>
      </w:r>
    </w:p>
    <w:p>
      <w:r>
        <w:br w:type="page"/>
      </w:r>
    </w:p>
    <w:p>
      <w:pPr>
        <w:pStyle w:val="Heading1"/>
      </w:pPr>
      <w:r>
        <w:t>13. Security tests and expected outcomes</w:t>
      </w:r>
    </w:p>
    <w:p>
      <w:pPr>
        <w:keepNext/>
        <w:spacing w:after="60"/>
        <w:jc w:val="center"/>
      </w:pPr>
      <w:r>
        <w:drawing>
          <wp:inline xmlns:a="http://schemas.openxmlformats.org/drawingml/2006/main" xmlns:pic="http://schemas.openxmlformats.org/drawingml/2006/picture">
            <wp:extent cx="6400800" cy="6002346"/>
            <wp:docPr id="8" name="Picture 8"/>
            <wp:cNvGraphicFramePr>
              <a:graphicFrameLocks noChangeAspect="1"/>
            </wp:cNvGraphicFramePr>
            <a:graphic>
              <a:graphicData uri="http://schemas.openxmlformats.org/drawingml/2006/picture">
                <pic:pic>
                  <pic:nvPicPr>
                    <pic:cNvPr id="0" name="F09_security_checks.png"/>
                    <pic:cNvPicPr/>
                  </pic:nvPicPr>
                  <pic:blipFill>
                    <a:blip r:embed="rId17"/>
                    <a:stretch>
                      <a:fillRect/>
                    </a:stretch>
                  </pic:blipFill>
                  <pic:spPr>
                    <a:xfrm>
                      <a:off x="0" y="0"/>
                      <a:ext cx="6400800" cy="6002346"/>
                    </a:xfrm>
                    <a:prstGeom prst="rect"/>
                  </pic:spPr>
                </pic:pic>
              </a:graphicData>
            </a:graphic>
          </wp:inline>
        </w:drawing>
      </w:r>
    </w:p>
    <w:p>
      <w:pPr>
        <w:pStyle w:val="Caption"/>
      </w:pPr>
      <w:r>
        <w:t>Figure F09. Intended live security-test sequence [C]. Some assertions test the Python policy; others test native stream permissions. No live pass is assumed.</w:t>
      </w:r>
    </w:p>
    <w:p>
      <w:r>
        <w:t>In negative tests, the intended permission/signature rejection is success; a timeout or unrelated error is not equivalent. The publisher's original write permission must be restored and verified before another workload. Keep the real per-test result and audit transaction ID.</w:t>
      </w:r>
    </w:p>
    <w:p>
      <w:r>
        <w:br w:type="page"/>
      </w:r>
    </w:p>
    <w:p>
      <w:pPr>
        <w:pStyle w:val="Heading1"/>
      </w:pPr>
      <w:r>
        <w:t>14. Burst-load workflow</w:t>
      </w:r>
    </w:p>
    <w:p>
      <w:pPr>
        <w:keepNext/>
        <w:spacing w:after="60"/>
        <w:jc w:val="center"/>
      </w:pPr>
      <w:r>
        <w:drawing>
          <wp:inline xmlns:a="http://schemas.openxmlformats.org/drawingml/2006/main" xmlns:pic="http://schemas.openxmlformats.org/drawingml/2006/picture">
            <wp:extent cx="5419091" cy="6583680"/>
            <wp:docPr id="9" name="Picture 9"/>
            <wp:cNvGraphicFramePr>
              <a:graphicFrameLocks noChangeAspect="1"/>
            </wp:cNvGraphicFramePr>
            <a:graphic>
              <a:graphicData uri="http://schemas.openxmlformats.org/drawingml/2006/picture">
                <pic:pic>
                  <pic:nvPicPr>
                    <pic:cNvPr id="0" name="F08_benchmark.png"/>
                    <pic:cNvPicPr/>
                  </pic:nvPicPr>
                  <pic:blipFill>
                    <a:blip r:embed="rId18"/>
                    <a:stretch>
                      <a:fillRect/>
                    </a:stretch>
                  </pic:blipFill>
                  <pic:spPr>
                    <a:xfrm>
                      <a:off x="0" y="0"/>
                      <a:ext cx="5419091" cy="6583680"/>
                    </a:xfrm>
                    <a:prstGeom prst="rect"/>
                  </pic:spPr>
                </pic:pic>
              </a:graphicData>
            </a:graphic>
          </wp:inline>
        </w:drawing>
      </w:r>
    </w:p>
    <w:p>
      <w:pPr>
        <w:pStyle w:val="Caption"/>
      </w:pPr>
      <w:r>
        <w:t>Figure F08. Code-derived measurement flow [C]. N logical requests are released together, at most W workers execute at a time, and the auditor observes confirmations after submission.</w:t>
      </w:r>
    </w:p>
    <w:p>
      <w:r>
        <w:t>Ledger mode is one publication per request. Pipeline mode requires --fixture-votes and is five publications per completed article. Do not compare the two workloads as equal numbers of transactions.</w:t>
      </w:r>
    </w:p>
    <w:p>
      <w:r>
        <w:br w:type="page"/>
      </w:r>
    </w:p>
    <w:p>
      <w:pPr>
        <w:pStyle w:val="Heading1"/>
      </w:pPr>
      <w:r>
        <w:t>15. Interpreting benchmark results</w:t>
      </w:r>
    </w:p>
    <w:tbl>
      <w:tblPr>
        <w:tblW w:type="auto" w:w="0"/>
        <w:jc w:val="center"/>
        <w:tblLayout w:type="fixed"/>
        <w:tblLook w:firstColumn="1" w:firstRow="1" w:lastColumn="0" w:lastRow="0" w:noHBand="0" w:noVBand="1" w:val="04A0"/>
      </w:tblPr>
      <w:tblGrid>
        <w:gridCol w:w="3744"/>
        <w:gridCol w:w="6408"/>
      </w:tblGrid>
      <w:tr>
        <w:trPr>
          <w:cantSplit/>
          <w:tblHeader/>
        </w:trPr>
        <w:tc>
          <w:tcPr>
            <w:tcW w:type="dxa" w:w="3744"/>
            <w:vAlign w:val="center"/>
            <w:tcMar>
              <w:top w:w="85" w:type="dxa"/>
              <w:left w:w="85" w:type="dxa"/>
              <w:bottom w:w="85" w:type="dxa"/>
              <w:right w:w="85" w:type="dxa"/>
            </w:tcMar>
            <w:shd w:fill="E9EEF2"/>
          </w:tcPr>
          <w:p>
            <w:pPr>
              <w:spacing w:after="60" w:before="40"/>
            </w:pPr>
            <w:r>
              <w:rPr>
                <w:b/>
                <w:sz w:val="20"/>
              </w:rPr>
              <w:t>Field</w:t>
            </w:r>
          </w:p>
        </w:tc>
        <w:tc>
          <w:tcPr>
            <w:tcW w:type="dxa" w:w="6408"/>
            <w:vAlign w:val="center"/>
            <w:tcMar>
              <w:top w:w="85" w:type="dxa"/>
              <w:left w:w="85" w:type="dxa"/>
              <w:bottom w:w="85" w:type="dxa"/>
              <w:right w:w="85" w:type="dxa"/>
            </w:tcMar>
            <w:shd w:fill="E9EEF2"/>
          </w:tcPr>
          <w:p>
            <w:pPr>
              <w:spacing w:after="60" w:before="40"/>
            </w:pPr>
            <w:r>
              <w:rPr>
                <w:b/>
                <w:sz w:val="20"/>
              </w:rPr>
              <w:t>Interpretation in the preserved code</w:t>
            </w:r>
          </w:p>
        </w:tc>
      </w:tr>
      <w:tr>
        <w:trPr>
          <w:cantSplit/>
        </w:trPr>
        <w:tc>
          <w:tcPr>
            <w:tcW w:type="dxa" w:w="3744"/>
            <w:vAlign w:val="center"/>
            <w:tcMar>
              <w:top w:w="85" w:type="dxa"/>
              <w:left w:w="85" w:type="dxa"/>
              <w:bottom w:w="85" w:type="dxa"/>
              <w:right w:w="85" w:type="dxa"/>
            </w:tcMar>
          </w:tcPr>
          <w:p>
            <w:pPr>
              <w:spacing w:after="60" w:before="40"/>
            </w:pPr>
            <w:r>
              <w:rPr>
                <w:b w:val="0"/>
                <w:sz w:val="20"/>
              </w:rPr>
              <w:t>successes / failures / unknown_outcomes</w:t>
            </w:r>
          </w:p>
        </w:tc>
        <w:tc>
          <w:tcPr>
            <w:tcW w:type="dxa" w:w="6408"/>
            <w:vAlign w:val="center"/>
            <w:tcMar>
              <w:top w:w="85" w:type="dxa"/>
              <w:left w:w="85" w:type="dxa"/>
              <w:bottom w:w="85" w:type="dxa"/>
              <w:right w:w="85" w:type="dxa"/>
            </w:tcMar>
          </w:tcPr>
          <w:p>
            <w:pPr>
              <w:spacing w:after="60" w:before="40"/>
            </w:pPr>
            <w:r>
              <w:rPr>
                <w:b w:val="0"/>
                <w:sz w:val="20"/>
              </w:rPr>
              <w:t>Keep all three counts. An uncertain write is not silently resent.</w:t>
            </w:r>
          </w:p>
        </w:tc>
      </w:tr>
      <w:tr>
        <w:trPr>
          <w:cantSplit/>
        </w:trPr>
        <w:tc>
          <w:tcPr>
            <w:tcW w:type="dxa" w:w="3744"/>
            <w:vAlign w:val="center"/>
            <w:tcMar>
              <w:top w:w="85" w:type="dxa"/>
              <w:left w:w="85" w:type="dxa"/>
              <w:bottom w:w="85" w:type="dxa"/>
              <w:right w:w="85" w:type="dxa"/>
            </w:tcMar>
          </w:tcPr>
          <w:p>
            <w:pPr>
              <w:spacing w:after="60" w:before="40"/>
            </w:pPr>
            <w:r>
              <w:rPr>
                <w:b w:val="0"/>
                <w:sz w:val="20"/>
              </w:rPr>
              <w:t>known_broadcast_transactions</w:t>
            </w:r>
          </w:p>
        </w:tc>
        <w:tc>
          <w:tcPr>
            <w:tcW w:type="dxa" w:w="6408"/>
            <w:vAlign w:val="center"/>
            <w:tcMar>
              <w:top w:w="85" w:type="dxa"/>
              <w:left w:w="85" w:type="dxa"/>
              <w:bottom w:w="85" w:type="dxa"/>
              <w:right w:w="85" w:type="dxa"/>
            </w:tcMar>
          </w:tcPr>
          <w:p>
            <w:pPr>
              <w:spacing w:after="60" w:before="40"/>
            </w:pPr>
            <w:r>
              <w:rPr>
                <w:b w:val="0"/>
                <w:sz w:val="20"/>
              </w:rPr>
              <w:t>Distinct transaction IDs returned to the client, including any known partial pipeline work.</w:t>
            </w:r>
          </w:p>
        </w:tc>
      </w:tr>
      <w:tr>
        <w:trPr>
          <w:cantSplit/>
        </w:trPr>
        <w:tc>
          <w:tcPr>
            <w:tcW w:type="dxa" w:w="3744"/>
            <w:vAlign w:val="center"/>
            <w:tcMar>
              <w:top w:w="85" w:type="dxa"/>
              <w:left w:w="85" w:type="dxa"/>
              <w:bottom w:w="85" w:type="dxa"/>
              <w:right w:w="85" w:type="dxa"/>
            </w:tcMar>
          </w:tcPr>
          <w:p>
            <w:pPr>
              <w:spacing w:after="60" w:before="40"/>
            </w:pPr>
            <w:r>
              <w:rPr>
                <w:b w:val="0"/>
                <w:sz w:val="20"/>
              </w:rPr>
              <w:t>confirmed_complete_requests</w:t>
            </w:r>
          </w:p>
        </w:tc>
        <w:tc>
          <w:tcPr>
            <w:tcW w:type="dxa" w:w="6408"/>
            <w:vAlign w:val="center"/>
            <w:tcMar>
              <w:top w:w="85" w:type="dxa"/>
              <w:left w:w="85" w:type="dxa"/>
              <w:bottom w:w="85" w:type="dxa"/>
              <w:right w:w="85" w:type="dxa"/>
            </w:tcMar>
          </w:tcPr>
          <w:p>
            <w:pPr>
              <w:spacing w:after="60" w:before="40"/>
            </w:pPr>
            <w:r>
              <w:rPr>
                <w:b w:val="0"/>
                <w:sz w:val="20"/>
              </w:rPr>
              <w:t>Successful requests whose known publications satisfy observed confirmation depth.</w:t>
            </w:r>
          </w:p>
        </w:tc>
      </w:tr>
      <w:tr>
        <w:trPr>
          <w:cantSplit/>
        </w:trPr>
        <w:tc>
          <w:tcPr>
            <w:tcW w:type="dxa" w:w="3744"/>
            <w:vAlign w:val="center"/>
            <w:tcMar>
              <w:top w:w="85" w:type="dxa"/>
              <w:left w:w="85" w:type="dxa"/>
              <w:bottom w:w="85" w:type="dxa"/>
              <w:right w:w="85" w:type="dxa"/>
            </w:tcMar>
          </w:tcPr>
          <w:p>
            <w:pPr>
              <w:spacing w:after="60" w:before="40"/>
            </w:pPr>
            <w:r>
              <w:rPr>
                <w:b w:val="0"/>
                <w:sz w:val="20"/>
              </w:rPr>
              <w:t>submission_seconds</w:t>
            </w:r>
          </w:p>
        </w:tc>
        <w:tc>
          <w:tcPr>
            <w:tcW w:type="dxa" w:w="6408"/>
            <w:vAlign w:val="center"/>
            <w:tcMar>
              <w:top w:w="85" w:type="dxa"/>
              <w:left w:w="85" w:type="dxa"/>
              <w:bottom w:w="85" w:type="dxa"/>
              <w:right w:w="85" w:type="dxa"/>
            </w:tcMar>
          </w:tcPr>
          <w:p>
            <w:pPr>
              <w:spacing w:after="60" w:before="40"/>
            </w:pPr>
            <w:r>
              <w:rPr>
                <w:b w:val="0"/>
                <w:sz w:val="20"/>
              </w:rPr>
              <w:t>t0 until all request attempts complete.</w:t>
            </w:r>
          </w:p>
        </w:tc>
      </w:tr>
      <w:tr>
        <w:trPr>
          <w:cantSplit/>
        </w:trPr>
        <w:tc>
          <w:tcPr>
            <w:tcW w:type="dxa" w:w="3744"/>
            <w:vAlign w:val="center"/>
            <w:tcMar>
              <w:top w:w="85" w:type="dxa"/>
              <w:left w:w="85" w:type="dxa"/>
              <w:bottom w:w="85" w:type="dxa"/>
              <w:right w:w="85" w:type="dxa"/>
            </w:tcMar>
          </w:tcPr>
          <w:p>
            <w:pPr>
              <w:spacing w:after="60" w:before="40"/>
            </w:pPr>
            <w:r>
              <w:rPr>
                <w:b w:val="0"/>
                <w:sz w:val="20"/>
              </w:rPr>
              <w:t>confirmation_observation_seconds</w:t>
            </w:r>
          </w:p>
        </w:tc>
        <w:tc>
          <w:tcPr>
            <w:tcW w:type="dxa" w:w="6408"/>
            <w:vAlign w:val="center"/>
            <w:tcMar>
              <w:top w:w="85" w:type="dxa"/>
              <w:left w:w="85" w:type="dxa"/>
              <w:bottom w:w="85" w:type="dxa"/>
              <w:right w:w="85" w:type="dxa"/>
            </w:tcMar>
          </w:tcPr>
          <w:p>
            <w:pPr>
              <w:spacing w:after="60" w:before="40"/>
            </w:pPr>
            <w:r>
              <w:rPr>
                <w:b w:val="0"/>
                <w:sz w:val="20"/>
              </w:rPr>
              <w:t>t0 until post-submission confirmation observation ends; includes polling overhead.</w:t>
            </w:r>
          </w:p>
        </w:tc>
      </w:tr>
      <w:tr>
        <w:trPr>
          <w:cantSplit/>
        </w:trPr>
        <w:tc>
          <w:tcPr>
            <w:tcW w:type="dxa" w:w="3744"/>
            <w:vAlign w:val="center"/>
            <w:tcMar>
              <w:top w:w="85" w:type="dxa"/>
              <w:left w:w="85" w:type="dxa"/>
              <w:bottom w:w="85" w:type="dxa"/>
              <w:right w:w="85" w:type="dxa"/>
            </w:tcMar>
          </w:tcPr>
          <w:p>
            <w:pPr>
              <w:spacing w:after="60" w:before="40"/>
            </w:pPr>
            <w:r>
              <w:rPr>
                <w:b w:val="0"/>
                <w:sz w:val="20"/>
              </w:rPr>
              <w:t>service p95 / p99</w:t>
            </w:r>
          </w:p>
        </w:tc>
        <w:tc>
          <w:tcPr>
            <w:tcW w:type="dxa" w:w="6408"/>
            <w:vAlign w:val="center"/>
            <w:tcMar>
              <w:top w:w="85" w:type="dxa"/>
              <w:left w:w="85" w:type="dxa"/>
              <w:bottom w:w="85" w:type="dxa"/>
              <w:right w:w="85" w:type="dxa"/>
            </w:tcMar>
          </w:tcPr>
          <w:p>
            <w:pPr>
              <w:spacing w:after="60" w:before="40"/>
            </w:pPr>
            <w:r>
              <w:rPr>
                <w:b w:val="0"/>
                <w:sz w:val="20"/>
              </w:rPr>
              <w:t>Successful requests only; service excludes initial worker-queue delay.</w:t>
            </w:r>
          </w:p>
        </w:tc>
      </w:tr>
      <w:tr>
        <w:trPr>
          <w:cantSplit/>
        </w:trPr>
        <w:tc>
          <w:tcPr>
            <w:tcW w:type="dxa" w:w="3744"/>
            <w:vAlign w:val="center"/>
            <w:tcMar>
              <w:top w:w="85" w:type="dxa"/>
              <w:left w:w="85" w:type="dxa"/>
              <w:bottom w:w="85" w:type="dxa"/>
              <w:right w:w="85" w:type="dxa"/>
            </w:tcMar>
          </w:tcPr>
          <w:p>
            <w:pPr>
              <w:spacing w:after="60" w:before="40"/>
            </w:pPr>
            <w:r>
              <w:rPr>
                <w:b w:val="0"/>
                <w:sz w:val="20"/>
              </w:rPr>
              <w:t>burst_response latency</w:t>
            </w:r>
          </w:p>
        </w:tc>
        <w:tc>
          <w:tcPr>
            <w:tcW w:type="dxa" w:w="6408"/>
            <w:vAlign w:val="center"/>
            <w:tcMar>
              <w:top w:w="85" w:type="dxa"/>
              <w:left w:w="85" w:type="dxa"/>
              <w:bottom w:w="85" w:type="dxa"/>
              <w:right w:w="85" w:type="dxa"/>
            </w:tcMar>
          </w:tcPr>
          <w:p>
            <w:pPr>
              <w:spacing w:after="60" w:before="40"/>
            </w:pPr>
            <w:r>
              <w:rPr>
                <w:b w:val="0"/>
                <w:sz w:val="20"/>
              </w:rPr>
              <w:t>Includes initial queue delay from shared arrival t0.</w:t>
            </w:r>
          </w:p>
        </w:tc>
      </w:tr>
      <w:tr>
        <w:trPr>
          <w:cantSplit/>
        </w:trPr>
        <w:tc>
          <w:tcPr>
            <w:tcW w:type="dxa" w:w="3744"/>
            <w:vAlign w:val="center"/>
            <w:tcMar>
              <w:top w:w="85" w:type="dxa"/>
              <w:left w:w="85" w:type="dxa"/>
              <w:bottom w:w="85" w:type="dxa"/>
              <w:right w:w="85" w:type="dxa"/>
            </w:tcMar>
          </w:tcPr>
          <w:p>
            <w:pPr>
              <w:spacing w:after="60" w:before="40"/>
            </w:pPr>
            <w:r>
              <w:rPr>
                <w:b w:val="0"/>
                <w:sz w:val="20"/>
              </w:rPr>
              <w:t>timeout</w:t>
            </w:r>
          </w:p>
        </w:tc>
        <w:tc>
          <w:tcPr>
            <w:tcW w:type="dxa" w:w="6408"/>
            <w:vAlign w:val="center"/>
            <w:tcMar>
              <w:top w:w="85" w:type="dxa"/>
              <w:left w:w="85" w:type="dxa"/>
              <w:bottom w:w="85" w:type="dxa"/>
              <w:right w:w="85" w:type="dxa"/>
            </w:tcMar>
          </w:tcPr>
          <w:p>
            <w:pPr>
              <w:spacing w:after="60" w:before="40"/>
            </w:pPr>
            <w:r>
              <w:rPr>
                <w:b w:val="0"/>
                <w:sz w:val="20"/>
              </w:rPr>
              <w:t>Post-submission observer limit, not an overall application runtime limit.</w:t>
            </w:r>
          </w:p>
        </w:tc>
      </w:tr>
    </w:tbl>
    <w:p/>
    <w:p>
      <w:r>
        <w:t>Rates are reported separately for successful requests, returned transactions, confirmed complete requests and confirmed transactions. Record units and the denominator. A failed 1,000-request run finishing quickly is not evidence of high successful throughput. [C]</w:t>
      </w:r>
    </w:p>
    <w:p>
      <w:r>
        <w:t>Change one variable at a time: N, workers, payload or confirmation target. Start with 10 requests, then 1,000; repeat comparisons when time permits. Preserve failures and unknowns. A one-host test does not establish distributed scalability, and its results are not comparable to the paper's platform without a matched experimental design. [C; 1]</w:t>
      </w:r>
    </w:p>
    <w:p>
      <w:r>
        <w:t>Use actual run IDs with reconcile. In pipeline mode add --stream news; this reconciles article submissions, not completed five-stage workflows. Hashes anchored by the application refer to original summary bytes, not redacted/reformatted exported copies. [C]</w:t>
      </w:r>
    </w:p>
    <w:p>
      <w:r>
        <w:br w:type="page"/>
      </w:r>
    </w:p>
    <w:p>
      <w:pPr>
        <w:pStyle w:val="Heading1"/>
      </w:pPr>
      <w:r>
        <w:t>16. Results supported by the supplied log</w:t>
      </w:r>
    </w:p>
    <w:p>
      <w:r>
        <w:t>Evidence E1 is the student-provided console log captured at 2026-10-08T19:41:12.916+00:00. The selected JSON is preserved in evidence/provided-run with only the workspace path redacted. It is log evidence, not an original screenshot or an independent execution by the package author.</w:t>
      </w:r>
    </w:p>
    <w:tbl>
      <w:tblPr>
        <w:tblW w:type="auto" w:w="0"/>
        <w:jc w:val="center"/>
        <w:tblLayout w:type="fixed"/>
        <w:tblLook w:firstColumn="1" w:firstRow="1" w:lastColumn="0" w:lastRow="0" w:noHBand="0" w:noVBand="1" w:val="04A0"/>
      </w:tblPr>
      <w:tblGrid>
        <w:gridCol w:w="2952"/>
        <w:gridCol w:w="7200"/>
      </w:tblGrid>
      <w:tr>
        <w:trPr>
          <w:cantSplit/>
          <w:tblHeader/>
        </w:trPr>
        <w:tc>
          <w:tcPr>
            <w:tcW w:type="dxa" w:w="2952"/>
            <w:vAlign w:val="center"/>
            <w:tcMar>
              <w:top w:w="85" w:type="dxa"/>
              <w:left w:w="85" w:type="dxa"/>
              <w:bottom w:w="85" w:type="dxa"/>
              <w:right w:w="85" w:type="dxa"/>
            </w:tcMar>
            <w:shd w:fill="E9EEF2"/>
          </w:tcPr>
          <w:p>
            <w:pPr>
              <w:spacing w:after="60" w:before="40"/>
            </w:pPr>
            <w:r>
              <w:rPr>
                <w:b/>
                <w:sz w:val="20"/>
              </w:rPr>
              <w:t>Observed item</w:t>
            </w:r>
          </w:p>
        </w:tc>
        <w:tc>
          <w:tcPr>
            <w:tcW w:type="dxa" w:w="7200"/>
            <w:vAlign w:val="center"/>
            <w:tcMar>
              <w:top w:w="85" w:type="dxa"/>
              <w:left w:w="85" w:type="dxa"/>
              <w:bottom w:w="85" w:type="dxa"/>
              <w:right w:w="85" w:type="dxa"/>
            </w:tcMar>
            <w:shd w:fill="E9EEF2"/>
          </w:tcPr>
          <w:p>
            <w:pPr>
              <w:spacing w:after="60" w:before="40"/>
            </w:pPr>
            <w:r>
              <w:rPr>
                <w:b/>
                <w:sz w:val="20"/>
              </w:rPr>
              <w:t>Recorded value / bounded claim</w:t>
            </w:r>
          </w:p>
        </w:tc>
      </w:tr>
      <w:tr>
        <w:trPr>
          <w:cantSplit/>
        </w:trPr>
        <w:tc>
          <w:tcPr>
            <w:tcW w:type="dxa" w:w="2952"/>
            <w:vAlign w:val="center"/>
            <w:tcMar>
              <w:top w:w="85" w:type="dxa"/>
              <w:left w:w="85" w:type="dxa"/>
              <w:bottom w:w="85" w:type="dxa"/>
              <w:right w:w="85" w:type="dxa"/>
            </w:tcMar>
          </w:tcPr>
          <w:p>
            <w:pPr>
              <w:spacing w:after="60" w:before="40"/>
            </w:pPr>
            <w:r>
              <w:rPr>
                <w:b w:val="0"/>
                <w:sz w:val="20"/>
              </w:rPr>
              <w:t>Implementation / platform</w:t>
            </w:r>
          </w:p>
        </w:tc>
        <w:tc>
          <w:tcPr>
            <w:tcW w:type="dxa" w:w="7200"/>
            <w:vAlign w:val="center"/>
            <w:tcMar>
              <w:top w:w="85" w:type="dxa"/>
              <w:left w:w="85" w:type="dxa"/>
              <w:bottom w:w="85" w:type="dxa"/>
              <w:right w:w="85" w:type="dxa"/>
            </w:tcMar>
          </w:tcPr>
          <w:p>
            <w:pPr>
              <w:spacing w:after="60" w:before="40"/>
            </w:pPr>
            <w:r>
              <w:rPr>
                <w:b w:val="0"/>
                <w:sz w:val="20"/>
              </w:rPr>
              <w:t>2.0.2-mining-check / MultiChain 2.3.3</w:t>
            </w:r>
          </w:p>
        </w:tc>
      </w:tr>
      <w:tr>
        <w:trPr>
          <w:cantSplit/>
        </w:trPr>
        <w:tc>
          <w:tcPr>
            <w:tcW w:type="dxa" w:w="2952"/>
            <w:vAlign w:val="center"/>
            <w:tcMar>
              <w:top w:w="85" w:type="dxa"/>
              <w:left w:w="85" w:type="dxa"/>
              <w:bottom w:w="85" w:type="dxa"/>
              <w:right w:w="85" w:type="dxa"/>
            </w:tcMar>
          </w:tcPr>
          <w:p>
            <w:pPr>
              <w:spacing w:after="60" w:before="40"/>
            </w:pPr>
            <w:r>
              <w:rPr>
                <w:b w:val="0"/>
                <w:sz w:val="20"/>
              </w:rPr>
              <w:t>Readiness</w:t>
            </w:r>
          </w:p>
        </w:tc>
        <w:tc>
          <w:tcPr>
            <w:tcW w:type="dxa" w:w="7200"/>
            <w:vAlign w:val="center"/>
            <w:tcMar>
              <w:top w:w="85" w:type="dxa"/>
              <w:left w:w="85" w:type="dxa"/>
              <w:bottom w:w="85" w:type="dxa"/>
              <w:right w:w="85" w:type="dxa"/>
            </w:tcMar>
          </w:tcPr>
          <w:p>
            <w:pPr>
              <w:spacing w:after="60" w:before="40"/>
            </w:pPr>
            <w:r>
              <w:rPr>
                <w:b w:val="0"/>
                <w:sz w:val="20"/>
              </w:rPr>
              <w:t>setup_complete=true; all_passed=true; issues=[]</w:t>
            </w:r>
          </w:p>
        </w:tc>
      </w:tr>
      <w:tr>
        <w:trPr>
          <w:cantSplit/>
        </w:trPr>
        <w:tc>
          <w:tcPr>
            <w:tcW w:type="dxa" w:w="2952"/>
            <w:vAlign w:val="center"/>
            <w:tcMar>
              <w:top w:w="85" w:type="dxa"/>
              <w:left w:w="85" w:type="dxa"/>
              <w:bottom w:w="85" w:type="dxa"/>
              <w:right w:w="85" w:type="dxa"/>
            </w:tcMar>
          </w:tcPr>
          <w:p>
            <w:pPr>
              <w:spacing w:after="60" w:before="40"/>
            </w:pPr>
            <w:r>
              <w:rPr>
                <w:b w:val="0"/>
                <w:sz w:val="20"/>
              </w:rPr>
              <w:t>Node roles</w:t>
            </w:r>
          </w:p>
        </w:tc>
        <w:tc>
          <w:tcPr>
            <w:tcW w:type="dxa" w:w="7200"/>
            <w:vAlign w:val="center"/>
            <w:tcMar>
              <w:top w:w="85" w:type="dxa"/>
              <w:left w:w="85" w:type="dxa"/>
              <w:bottom w:w="85" w:type="dxa"/>
              <w:right w:w="85" w:type="dxa"/>
            </w:tcMar>
          </w:tcPr>
          <w:p>
            <w:pPr>
              <w:spacing w:after="60" w:before="40"/>
            </w:pPr>
            <w:r>
              <w:rPr>
                <w:b w:val="0"/>
                <w:sz w:val="20"/>
              </w:rPr>
              <w:t>All five online; intended mining permissions present</w:t>
            </w:r>
          </w:p>
        </w:tc>
      </w:tr>
      <w:tr>
        <w:trPr>
          <w:cantSplit/>
        </w:trPr>
        <w:tc>
          <w:tcPr>
            <w:tcW w:type="dxa" w:w="2952"/>
            <w:vAlign w:val="center"/>
            <w:tcMar>
              <w:top w:w="85" w:type="dxa"/>
              <w:left w:w="85" w:type="dxa"/>
              <w:bottom w:w="85" w:type="dxa"/>
              <w:right w:w="85" w:type="dxa"/>
            </w:tcMar>
          </w:tcPr>
          <w:p>
            <w:pPr>
              <w:spacing w:after="60" w:before="40"/>
            </w:pPr>
            <w:r>
              <w:rPr>
                <w:b w:val="0"/>
                <w:sz w:val="20"/>
              </w:rPr>
              <w:t>Agreement</w:t>
            </w:r>
          </w:p>
        </w:tc>
        <w:tc>
          <w:tcPr>
            <w:tcW w:type="dxa" w:w="7200"/>
            <w:vAlign w:val="center"/>
            <w:tcMar>
              <w:top w:w="85" w:type="dxa"/>
              <w:left w:w="85" w:type="dxa"/>
              <w:bottom w:w="85" w:type="dxa"/>
              <w:right w:w="85" w:type="dxa"/>
            </w:tcMar>
          </w:tcPr>
          <w:p>
            <w:pPr>
              <w:spacing w:after="60" w:before="40"/>
            </w:pPr>
            <w:r>
              <w:rPr>
                <w:b w:val="0"/>
                <w:sz w:val="20"/>
              </w:rPr>
              <w:t>Shared block 552 hash matched; doctor height_lag=1</w:t>
            </w:r>
          </w:p>
        </w:tc>
      </w:tr>
      <w:tr>
        <w:trPr>
          <w:cantSplit/>
        </w:trPr>
        <w:tc>
          <w:tcPr>
            <w:tcW w:type="dxa" w:w="2952"/>
            <w:vAlign w:val="center"/>
            <w:tcMar>
              <w:top w:w="85" w:type="dxa"/>
              <w:left w:w="85" w:type="dxa"/>
              <w:bottom w:w="85" w:type="dxa"/>
              <w:right w:w="85" w:type="dxa"/>
            </w:tcMar>
          </w:tcPr>
          <w:p>
            <w:pPr>
              <w:spacing w:after="60" w:before="40"/>
            </w:pPr>
            <w:r>
              <w:rPr>
                <w:b w:val="0"/>
                <w:sz w:val="20"/>
              </w:rPr>
              <w:t>Authority query</w:t>
            </w:r>
          </w:p>
        </w:tc>
        <w:tc>
          <w:tcPr>
            <w:tcW w:type="dxa" w:w="7200"/>
            <w:vAlign w:val="center"/>
            <w:tcMar>
              <w:top w:w="85" w:type="dxa"/>
              <w:left w:w="85" w:type="dxa"/>
              <w:bottom w:w="85" w:type="dxa"/>
              <w:right w:w="85" w:type="dxa"/>
            </w:tcMar>
          </w:tcPr>
          <w:p>
            <w:pPr>
              <w:spacing w:after="60" w:before="40"/>
            </w:pPr>
            <w:r>
              <w:rPr>
                <w:b w:val="0"/>
                <w:sz w:val="20"/>
              </w:rPr>
              <w:t>getinfo reports block 554, 4 connections, 1 asset, 8 total streams, errors empty</w:t>
            </w:r>
          </w:p>
        </w:tc>
      </w:tr>
      <w:tr>
        <w:trPr>
          <w:cantSplit/>
        </w:trPr>
        <w:tc>
          <w:tcPr>
            <w:tcW w:type="dxa" w:w="2952"/>
            <w:vAlign w:val="center"/>
            <w:tcMar>
              <w:top w:w="85" w:type="dxa"/>
              <w:left w:w="85" w:type="dxa"/>
              <w:bottom w:w="85" w:type="dxa"/>
              <w:right w:w="85" w:type="dxa"/>
            </w:tcMar>
          </w:tcPr>
          <w:p>
            <w:pPr>
              <w:spacing w:after="60" w:before="40"/>
            </w:pPr>
            <w:r>
              <w:rPr>
                <w:b w:val="0"/>
                <w:sz w:val="20"/>
              </w:rPr>
              <w:t>Decision records</w:t>
            </w:r>
          </w:p>
        </w:tc>
        <w:tc>
          <w:tcPr>
            <w:tcW w:type="dxa" w:w="7200"/>
            <w:vAlign w:val="center"/>
            <w:tcMar>
              <w:top w:w="85" w:type="dxa"/>
              <w:left w:w="85" w:type="dxa"/>
              <w:bottom w:w="85" w:type="dxa"/>
              <w:right w:w="85" w:type="dxa"/>
            </w:tcMar>
          </w:tcPr>
          <w:p>
            <w:pPr>
              <w:spacing w:after="60" w:before="40"/>
            </w:pPr>
            <w:r>
              <w:rPr>
                <w:b w:val="0"/>
                <w:sz w:val="20"/>
              </w:rPr>
              <w:t>3 confirmed records in decisions; count alone does not prove valid outcomes</w:t>
            </w:r>
          </w:p>
        </w:tc>
      </w:tr>
      <w:tr>
        <w:trPr>
          <w:cantSplit/>
        </w:trPr>
        <w:tc>
          <w:tcPr>
            <w:tcW w:type="dxa" w:w="2952"/>
            <w:vAlign w:val="center"/>
            <w:tcMar>
              <w:top w:w="85" w:type="dxa"/>
              <w:left w:w="85" w:type="dxa"/>
              <w:bottom w:w="85" w:type="dxa"/>
              <w:right w:w="85" w:type="dxa"/>
            </w:tcMar>
          </w:tcPr>
          <w:p>
            <w:pPr>
              <w:spacing w:after="60" w:before="40"/>
            </w:pPr>
            <w:r>
              <w:rPr>
                <w:b w:val="0"/>
                <w:sz w:val="20"/>
              </w:rPr>
              <w:t>Benchmark stream</w:t>
            </w:r>
          </w:p>
        </w:tc>
        <w:tc>
          <w:tcPr>
            <w:tcW w:type="dxa" w:w="7200"/>
            <w:vAlign w:val="center"/>
            <w:tcMar>
              <w:top w:w="85" w:type="dxa"/>
              <w:left w:w="85" w:type="dxa"/>
              <w:bottom w:w="85" w:type="dxa"/>
              <w:right w:w="85" w:type="dxa"/>
            </w:tcMar>
          </w:tcPr>
          <w:p>
            <w:pPr>
              <w:spacing w:after="60" w:before="40"/>
            </w:pPr>
            <w:r>
              <w:rPr>
                <w:b w:val="0"/>
                <w:sz w:val="20"/>
              </w:rPr>
              <w:t>0 items at this snapshot; no successful benchmark measurement established</w:t>
            </w:r>
          </w:p>
        </w:tc>
      </w:tr>
    </w:tbl>
    <w:p/>
    <w:p>
      <w:pPr>
        <w:pStyle w:val="Heading2"/>
      </w:pPr>
      <w:r>
        <w:t>Evidence still to collect</w:t>
      </w:r>
    </w:p>
    <w:p>
      <w:r>
        <w:t>A passing demo summary with per-case audit checks; actual security-test output; the small and large benchmark summaries/traces; real command screenshots; and the published repository URL/commit. Neither typeset logs nor expected-output examples replace those deliverables.</w:t>
      </w:r>
    </w:p>
    <w:p>
      <w:pPr>
        <w:pStyle w:val="Heading2"/>
      </w:pPr>
      <w:r>
        <w:t>Local package verification [E2]</w:t>
      </w:r>
    </w:p>
    <w:p>
      <w:r>
        <w:t>99 local Python tests passed during packaging: 88 preserved application/regression tests and 11 export/publication-tool tests. No native MultiChain node ran in that local test suite. The application source is byte-identical to the v2.0.2 file used for this package, with a SHA-256 recorded in PACKAGE_PROVENANCE.json.</w:t>
      </w:r>
    </w:p>
    <w:p>
      <w:r>
        <w:br w:type="page"/>
      </w:r>
    </w:p>
    <w:p>
      <w:pPr>
        <w:pStyle w:val="Heading1"/>
      </w:pPr>
      <w:r>
        <w:t>17. Report completion and submission</w:t>
      </w:r>
    </w:p>
    <w:p>
      <w:pPr>
        <w:pStyle w:val="Heading2"/>
      </w:pPr>
      <w:r>
        <w:t>Student report</w:t>
      </w:r>
    </w:p>
    <w:p>
      <w:r>
        <w:t>Use the editable workbook to write an abstract, introduction, paper summary, methodology, mapping, step-by-step MultiChain workflow, results, discussion, limitations and conclusion. Insert actual screenshots and label every selected figure and table. Explain the specific observed fields rather than using a screenshot as decoration.</w:t>
      </w:r>
    </w:p>
    <w:p>
      <w:r>
        <w:t>The teacher's AI-writing limit requires predominantly student-authored prose. Generated reference paragraphs and captions are not independent student work. Write from your own notes, record assistance and confirm how the instructor counts code, figures and captions. The package cannot certify an AI-writing percentage or a grade.</w:t>
      </w:r>
    </w:p>
    <w:p>
      <w:pPr>
        <w:pStyle w:val="Heading2"/>
      </w:pPr>
      <w:r>
        <w:t>Repository</w:t>
      </w:r>
    </w:p>
    <w:p>
      <w:r>
        <w:t>Publish this new source directory, not the old private workspace. README gives clean-run and existing-workspace paths. The repository includes dependencies, tests, figures, a source index and evidence tools. Use the publication guard on staged Git blobs, then manually inspect PDFs and screenshots. Never commit wallets, live RPC configurations, credentials or node data.</w:t>
      </w:r>
    </w:p>
    <w:p>
      <w:pPr>
        <w:pStyle w:val="Heading2"/>
      </w:pPr>
      <w:r>
        <w:t>Final three deliverables</w:t>
      </w:r>
    </w:p>
    <w:tbl>
      <w:tblPr>
        <w:tblW w:type="auto" w:w="0"/>
        <w:jc w:val="center"/>
        <w:tblLayout w:type="fixed"/>
        <w:tblLook w:firstColumn="1" w:firstRow="1" w:lastColumn="0" w:lastRow="0" w:noHBand="0" w:noVBand="1" w:val="04A0"/>
      </w:tblPr>
      <w:tblGrid>
        <w:gridCol w:w="3024"/>
        <w:gridCol w:w="7128"/>
      </w:tblGrid>
      <w:tr>
        <w:trPr>
          <w:cantSplit/>
          <w:tblHeader/>
        </w:trPr>
        <w:tc>
          <w:tcPr>
            <w:tcW w:type="dxa" w:w="3024"/>
            <w:vAlign w:val="center"/>
            <w:tcMar>
              <w:top w:w="85" w:type="dxa"/>
              <w:left w:w="85" w:type="dxa"/>
              <w:bottom w:w="85" w:type="dxa"/>
              <w:right w:w="85" w:type="dxa"/>
            </w:tcMar>
            <w:shd w:fill="E9EEF2"/>
          </w:tcPr>
          <w:p>
            <w:pPr>
              <w:spacing w:after="60" w:before="40"/>
            </w:pPr>
            <w:r>
              <w:rPr>
                <w:b/>
                <w:sz w:val="20"/>
              </w:rPr>
              <w:t>Deliverable</w:t>
            </w:r>
          </w:p>
        </w:tc>
        <w:tc>
          <w:tcPr>
            <w:tcW w:type="dxa" w:w="7128"/>
            <w:vAlign w:val="center"/>
            <w:tcMar>
              <w:top w:w="85" w:type="dxa"/>
              <w:left w:w="85" w:type="dxa"/>
              <w:bottom w:w="85" w:type="dxa"/>
              <w:right w:w="85" w:type="dxa"/>
            </w:tcMar>
            <w:shd w:fill="E9EEF2"/>
          </w:tcPr>
          <w:p>
            <w:pPr>
              <w:spacing w:after="60" w:before="40"/>
            </w:pPr>
            <w:r>
              <w:rPr>
                <w:b/>
                <w:sz w:val="20"/>
              </w:rPr>
              <w:t>Completion action</w:t>
            </w:r>
          </w:p>
        </w:tc>
      </w:tr>
      <w:tr>
        <w:trPr>
          <w:cantSplit/>
        </w:trPr>
        <w:tc>
          <w:tcPr>
            <w:tcW w:type="dxa" w:w="3024"/>
            <w:vAlign w:val="center"/>
            <w:tcMar>
              <w:top w:w="85" w:type="dxa"/>
              <w:left w:w="85" w:type="dxa"/>
              <w:bottom w:w="85" w:type="dxa"/>
              <w:right w:w="85" w:type="dxa"/>
            </w:tcMar>
          </w:tcPr>
          <w:p>
            <w:pPr>
              <w:spacing w:after="60" w:before="40"/>
            </w:pPr>
            <w:r>
              <w:rPr>
                <w:b w:val="0"/>
                <w:sz w:val="20"/>
              </w:rPr>
              <w:t>Selected paper PDF</w:t>
            </w:r>
          </w:p>
        </w:tc>
        <w:tc>
          <w:tcPr>
            <w:tcW w:type="dxa" w:w="7128"/>
            <w:vAlign w:val="center"/>
            <w:tcMar>
              <w:top w:w="85" w:type="dxa"/>
              <w:left w:w="85" w:type="dxa"/>
              <w:bottom w:w="85" w:type="dxa"/>
              <w:right w:w="85" w:type="dxa"/>
            </w:tcMar>
          </w:tcPr>
          <w:p>
            <w:pPr>
              <w:spacing w:after="60" w:before="40"/>
            </w:pPr>
            <w:r>
              <w:rPr>
                <w:b w:val="0"/>
                <w:sz w:val="20"/>
              </w:rPr>
              <w:t>Use paper/Selected_Paper.pdf; preserve attribution.</w:t>
            </w:r>
          </w:p>
        </w:tc>
      </w:tr>
      <w:tr>
        <w:trPr>
          <w:cantSplit/>
        </w:trPr>
        <w:tc>
          <w:tcPr>
            <w:tcW w:type="dxa" w:w="3024"/>
            <w:vAlign w:val="center"/>
            <w:tcMar>
              <w:top w:w="85" w:type="dxa"/>
              <w:left w:w="85" w:type="dxa"/>
              <w:bottom w:w="85" w:type="dxa"/>
              <w:right w:w="85" w:type="dxa"/>
            </w:tcMar>
          </w:tcPr>
          <w:p>
            <w:pPr>
              <w:spacing w:after="60" w:before="40"/>
            </w:pPr>
            <w:r>
              <w:rPr>
                <w:b w:val="0"/>
                <w:sz w:val="20"/>
              </w:rPr>
              <w:t>Implementation report PDF</w:t>
            </w:r>
          </w:p>
        </w:tc>
        <w:tc>
          <w:tcPr>
            <w:tcW w:type="dxa" w:w="7128"/>
            <w:vAlign w:val="center"/>
            <w:tcMar>
              <w:top w:w="85" w:type="dxa"/>
              <w:left w:w="85" w:type="dxa"/>
              <w:bottom w:w="85" w:type="dxa"/>
              <w:right w:w="85" w:type="dxa"/>
            </w:tcMar>
          </w:tcPr>
          <w:p>
            <w:pPr>
              <w:spacing w:after="60" w:before="40"/>
            </w:pPr>
            <w:r>
              <w:rPr>
                <w:b w:val="0"/>
                <w:sz w:val="20"/>
              </w:rPr>
              <w:t>Replace workbook prompts with your writing and measured evidence; export as submission/Implementation_Report.pdf.</w:t>
            </w:r>
          </w:p>
        </w:tc>
      </w:tr>
      <w:tr>
        <w:trPr>
          <w:cantSplit/>
        </w:trPr>
        <w:tc>
          <w:tcPr>
            <w:tcW w:type="dxa" w:w="3024"/>
            <w:vAlign w:val="center"/>
            <w:tcMar>
              <w:top w:w="85" w:type="dxa"/>
              <w:left w:w="85" w:type="dxa"/>
              <w:bottom w:w="85" w:type="dxa"/>
              <w:right w:w="85" w:type="dxa"/>
            </w:tcMar>
          </w:tcPr>
          <w:p>
            <w:pPr>
              <w:spacing w:after="60" w:before="40"/>
            </w:pPr>
            <w:r>
              <w:rPr>
                <w:b w:val="0"/>
                <w:sz w:val="20"/>
              </w:rPr>
              <w:t>GitHub URL</w:t>
            </w:r>
          </w:p>
        </w:tc>
        <w:tc>
          <w:tcPr>
            <w:tcW w:type="dxa" w:w="7128"/>
            <w:vAlign w:val="center"/>
            <w:tcMar>
              <w:top w:w="85" w:type="dxa"/>
              <w:left w:w="85" w:type="dxa"/>
              <w:bottom w:w="85" w:type="dxa"/>
              <w:right w:w="85" w:type="dxa"/>
            </w:tcMar>
          </w:tcPr>
          <w:p>
            <w:pPr>
              <w:spacing w:after="60" w:before="40"/>
            </w:pPr>
            <w:r>
              <w:rPr>
                <w:b w:val="0"/>
                <w:sz w:val="20"/>
              </w:rPr>
              <w:t>Create and push the real repository; confirm examiner access; include commit identifier in the report.</w:t>
            </w:r>
          </w:p>
        </w:tc>
      </w:tr>
    </w:tbl>
    <w:p/>
    <w:p>
      <w:r>
        <w:t>The supplied rubric assigns 7.5 marks to this implementation section. No fabricated sub-weights or claim of completing the other practical section are made. Use SUBMISSION_CHECKLIST.md as a completion check, not a mark guarantee.</w:t>
      </w:r>
    </w:p>
    <w:p>
      <w:r>
        <w:br w:type="page"/>
      </w:r>
    </w:p>
    <w:p>
      <w:pPr>
        <w:pStyle w:val="Heading1"/>
      </w:pPr>
      <w:r>
        <w:t>References and source boundaries</w:t>
      </w:r>
    </w:p>
    <w:p>
      <w:pPr>
        <w:pStyle w:val="Heading2"/>
      </w:pPr>
      <w:r>
        <w:t>[1] Selected paper</w:t>
      </w:r>
    </w:p>
    <w:p>
      <w:r>
        <w:t>Z. Shahbazi and Y.-C. Byun, Fake Media Detection Based on Natural Language Processing and Blockchain Approaches, IEEE Access 9, 128442-128453, 2021. DOI: 10.1109/ACCESS.2021.3112607. Included PDF; Figure 1 p.3; methodology pp.4-6; implementation p.8; evaluation pp.10-11; conclusion p.11.</w:t>
      </w:r>
    </w:p>
    <w:p>
      <w:pPr>
        <w:pStyle w:val="Heading2"/>
      </w:pPr>
      <w:r>
        <w:t>[2] Creating / connecting</w:t>
      </w:r>
    </w:p>
    <w:p>
      <w:r>
        <w:t>https://www.multichain.com/developers/creating-connecting/</w:t>
      </w:r>
    </w:p>
    <w:p>
      <w:pPr>
        <w:pStyle w:val="Heading2"/>
      </w:pPr>
      <w:r>
        <w:t>[3] Blockchain parameters</w:t>
      </w:r>
    </w:p>
    <w:p>
      <w:r>
        <w:t>https://www.multichain.com/developers/blockchain-parameters/</w:t>
      </w:r>
    </w:p>
    <w:p>
      <w:pPr>
        <w:pStyle w:val="Heading2"/>
      </w:pPr>
      <w:r>
        <w:t>[4] JSON-RPC API</w:t>
      </w:r>
    </w:p>
    <w:p>
      <w:r>
        <w:t>https://www.multichain.com/developers/json-rpc-api/</w:t>
      </w:r>
    </w:p>
    <w:p>
      <w:pPr>
        <w:pStyle w:val="Heading2"/>
      </w:pPr>
      <w:r>
        <w:t>[5] Permissions</w:t>
      </w:r>
    </w:p>
    <w:p>
      <w:r>
        <w:t>https://www.multichain.com/developers/permissions-management/</w:t>
      </w:r>
    </w:p>
    <w:p>
      <w:pPr>
        <w:pStyle w:val="Heading2"/>
      </w:pPr>
      <w:r>
        <w:t>[6] Streams</w:t>
      </w:r>
    </w:p>
    <w:p>
      <w:r>
        <w:t>https://www.multichain.com/developers/data-streams/</w:t>
      </w:r>
    </w:p>
    <w:p>
      <w:pPr>
        <w:pStyle w:val="Heading2"/>
      </w:pPr>
      <w:r>
        <w:t>[7] GitHub source import</w:t>
      </w:r>
    </w:p>
    <w:p>
      <w:r>
        <w:t>GitHub Docs, Adding locally hosted code to GitHub. Full URL in REFERENCES.md.</w:t>
      </w:r>
    </w:p>
    <w:p>
      <w:pPr>
        <w:pStyle w:val="Heading2"/>
      </w:pPr>
      <w:r>
        <w:t>[8] GitHub Python CI</w:t>
      </w:r>
    </w:p>
    <w:p>
      <w:r>
        <w:t>https://docs.github.com/en/actions/tutorials/build-and-test-code/python</w:t>
      </w:r>
    </w:p>
    <w:p>
      <w:pPr>
        <w:pStyle w:val="Heading2"/>
      </w:pPr>
      <w:r>
        <w:t>[C] This implementation</w:t>
      </w:r>
    </w:p>
    <w:p>
      <w:r>
        <w:t>lab.py 2.0.2-mining-check; demo_news.csv; code symbol/line index in docs/CODE_INDEX.md. Source for lab-specific behavior, not original-paper claims.</w:t>
      </w:r>
    </w:p>
    <w:p>
      <w:pPr>
        <w:pStyle w:val="Heading2"/>
      </w:pPr>
      <w:r>
        <w:t>[E1] Student-provided log</w:t>
      </w:r>
    </w:p>
    <w:p>
      <w:r>
        <w:t>Pasted text(3).txt; selected JSON and provenance under evidence/provided-run/.</w:t>
      </w:r>
    </w:p>
    <w:p>
      <w:pPr>
        <w:pStyle w:val="Heading2"/>
      </w:pPr>
      <w:r>
        <w:t>[E2] Local tests</w:t>
      </w:r>
    </w:p>
    <w:p>
      <w:r>
        <w:t>validation/unit-tests.txt: 99 tests, no live blockchain execution.</w:t>
      </w:r>
    </w:p>
    <w:p>
      <w:r>
        <w:t>Public references checked 2026-10-09. The original paper figure is reproduced as a crop with attribution under its CC BY 4.0 notice. Other figures are AI-assisted code-derived illustrations, not execution evidence.</w:t>
      </w:r>
    </w:p>
    <w:sectPr w:rsidR="00FC693F" w:rsidRPr="0006063C" w:rsidSect="00034616">
      <w:footerReference w:type="default" r:id="rId9"/>
      <w:pgSz w:w="12240" w:h="15840"/>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Technical reference - AI-assisted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80"/>
      <w:outlineLvl w:val="0"/>
    </w:pPr>
    <w:rPr>
      <w:rFonts w:asciiTheme="majorHAnsi" w:eastAsiaTheme="majorEastAsia" w:hAnsiTheme="majorHAnsi" w:cstheme="majorBidi" w:ascii="Calibri" w:hAnsi="Calibri"/>
      <w:b/>
      <w:bCs/>
      <w:color w:val="17344D"/>
      <w:sz w:val="38"/>
      <w:szCs w:val="28"/>
    </w:rPr>
  </w:style>
  <w:style w:type="paragraph" w:styleId="Heading2">
    <w:name w:val="heading 2"/>
    <w:basedOn w:val="Normal"/>
    <w:next w:val="Normal"/>
    <w:link w:val="Heading2Char"/>
    <w:uiPriority w:val="9"/>
    <w:unhideWhenUsed/>
    <w:qFormat/>
    <w:rsid w:val="00FC693F"/>
    <w:pPr>
      <w:keepNext/>
      <w:keepLines/>
      <w:spacing w:before="120" w:after="180"/>
      <w:outlineLvl w:val="1"/>
    </w:pPr>
    <w:rPr>
      <w:rFonts w:asciiTheme="majorHAnsi" w:eastAsiaTheme="majorEastAsia" w:hAnsiTheme="majorHAnsi" w:cstheme="majorBidi" w:ascii="Calibri" w:hAnsi="Calibri"/>
      <w:b/>
      <w:bCs/>
      <w:color w:val="17344D"/>
      <w:sz w:val="26"/>
      <w:szCs w:val="26"/>
    </w:rPr>
  </w:style>
  <w:style w:type="paragraph" w:styleId="Heading3">
    <w:name w:val="heading 3"/>
    <w:basedOn w:val="Normal"/>
    <w:next w:val="Normal"/>
    <w:link w:val="Heading3Char"/>
    <w:uiPriority w:val="9"/>
    <w:unhideWhenUsed/>
    <w:qFormat/>
    <w:rsid w:val="00FC693F"/>
    <w:pPr>
      <w:keepNext/>
      <w:keepLines/>
      <w:spacing w:before="120" w:after="180"/>
      <w:outlineLvl w:val="2"/>
    </w:pPr>
    <w:rPr>
      <w:rFonts w:asciiTheme="majorHAnsi" w:eastAsiaTheme="majorEastAsia" w:hAnsiTheme="majorHAnsi" w:cstheme="majorBidi" w:ascii="Calibri" w:hAnsi="Calibri"/>
      <w:b/>
      <w:bCs/>
      <w:color w:val="1734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120"/>
      <w:contextualSpacing/>
    </w:pPr>
    <w:rPr>
      <w:rFonts w:asciiTheme="majorHAnsi" w:eastAsiaTheme="majorEastAsia" w:hAnsiTheme="majorHAnsi" w:cstheme="majorBidi" w:ascii="Calibri" w:hAnsi="Calibri"/>
      <w:color w:val="1734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4"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1414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FakeMedia | Technical Reference</dc:title>
  <dc:subject>Technical reference - AI-assisted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