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C30FB">
      <w:pPr>
        <w:pStyle w:val="167"/>
        <w:rPr>
          <w:rFonts w:hint="eastAsia" w:ascii="黑体" w:hAnsi="黑体" w:eastAsia="黑体" w:cs="黑体"/>
          <w:sz w:val="44"/>
          <w:szCs w:val="44"/>
        </w:rPr>
      </w:pPr>
      <w:bookmarkStart w:id="0" w:name="_GoBack"/>
      <w:r>
        <w:rPr>
          <w:rFonts w:hint="eastAsia" w:ascii="黑体" w:hAnsi="黑体" w:eastAsia="黑体" w:cs="黑体"/>
          <w:sz w:val="44"/>
          <w:szCs w:val="44"/>
        </w:rPr>
        <w:t>智慧温室大棚监控平台项目介绍</w:t>
      </w:r>
    </w:p>
    <w:bookmarkEnd w:id="0"/>
    <w:p w14:paraId="15007EC9">
      <w:pPr>
        <w:pStyle w:val="174"/>
      </w:pPr>
      <w:r>
        <w:t>一、项目概述</w:t>
      </w:r>
    </w:p>
    <w:p w14:paraId="76E63124">
      <w:pPr>
        <w:pStyle w:val="173"/>
      </w:pPr>
      <w:r>
        <w:t>智慧温室大棚监控平台是一套面向现代设施农业的综合性智能管理系统。平台将园区管理、环境监测、智能水肥、病虫绿色防控、灾害预警和农产品质量安全检测整合到统一平台上，帮助种植者从传统的"凭经验种菜"转变为"用数据管理大棚"，实现农业生产的全过程数字化、智能化管理。</w:t>
      </w:r>
    </w:p>
    <w:p w14:paraId="68C0FFC4">
      <w:pPr>
        <w:pStyle w:val="174"/>
      </w:pPr>
      <w:r>
        <w:t>二、平台功能板块</w:t>
      </w:r>
    </w:p>
    <w:p w14:paraId="5A9B58A5">
      <w:pPr>
        <w:pStyle w:val="173"/>
      </w:pPr>
      <w:r>
        <w:t>平台目前涵盖七大核心功能板块：园区概况、大棚监测、环境气象、智能水肥、病虫防治、灾害防控和农残检测。以下对各板块进行详细介绍。</w:t>
      </w:r>
    </w:p>
    <w:p w14:paraId="0129E1A1">
      <w:pPr>
        <w:pStyle w:val="176"/>
      </w:pPr>
      <w:r>
        <w:t>（一）园区概况</w:t>
      </w:r>
    </w:p>
    <w:p w14:paraId="6171A593">
      <w:pPr>
        <w:pStyle w:val="173"/>
      </w:pPr>
      <w:r>
        <w:t>园区概况板块为管理人员提供园区全局视图，直观展示园区整体运行状态，包括大棚数量、作物类型分布、当前环境风险等级、设备在线情况以及关键生产数据指标。管理人员打开页面即可对园区运行状况一目了然，为后续管理决策提供数据支撑。</w:t>
      </w:r>
    </w:p>
    <w:p w14:paraId="101304F2">
      <w:pPr>
        <w:pStyle w:val="176"/>
      </w:pPr>
      <w:r>
        <w:t>（二）大棚监测</w:t>
      </w:r>
    </w:p>
    <w:p w14:paraId="0A6290B1">
      <w:pPr>
        <w:pStyle w:val="173"/>
      </w:pPr>
      <w:r>
        <w:t>大棚监测板块目前接入了六个大棚，分别种植番茄、草莓、黄瓜、甜椒、生菜和育苗作物。每个大棚均支持360度环视查看功能，提供外景模式和室内环境监测模式，并可开启环境音效以还原真实种植场景。在室内监测模式下，种植者可实时查看温度、湿度、光照强度和二氧化碳浓度等关键环境参数，及时判断作物生长环境是否处于适宜区间，为精准调控提供依据。</w:t>
      </w:r>
    </w:p>
    <w:p w14:paraId="27145DE3">
      <w:pPr>
        <w:pStyle w:val="176"/>
      </w:pPr>
      <w:r>
        <w:t>（三）环境气象</w:t>
      </w:r>
    </w:p>
    <w:p w14:paraId="7C1D1A6B">
      <w:pPr>
        <w:pStyle w:val="173"/>
      </w:pPr>
      <w:r>
        <w:t>环境气象板块接入实时天气数据，支持晴、多云、阴、雨、雪等多种天气状态的可视化展示，并提供24小时气象变化曲线。种植者可同时查看今日降水预报、空气质量指数、能见度等气象信息，提前安排灌溉、通风、采收和运输等农事作业，有效规避恶劣天气带来的生产损失。</w:t>
      </w:r>
    </w:p>
    <w:p w14:paraId="2EEB07F5">
      <w:pPr>
        <w:pStyle w:val="176"/>
      </w:pPr>
      <w:r>
        <w:t>（四）智能水肥</w:t>
      </w:r>
    </w:p>
    <w:p w14:paraId="0670DDCD">
      <w:pPr>
        <w:pStyle w:val="173"/>
      </w:pPr>
      <w:r>
        <w:t>智能水肥板块重点解决"何时灌、灌多少、怎么配"的精细化管理问题。平台可实时监测水压、流量、水源状态和蓄水量，动态显示各阀门开关状态，并自动记录水肥配比方案和灌溉时段统计。结合区域土壤墒情数据，系统能够智能辅助判断是否需要灌溉，有效减少人工经验依赖，提高水肥利用效率，实现节水节肥、增产增效的目标。</w:t>
      </w:r>
    </w:p>
    <w:p w14:paraId="34C89F2A">
      <w:pPr>
        <w:pStyle w:val="176"/>
      </w:pPr>
      <w:r>
        <w:t>（五）病虫防治</w:t>
      </w:r>
    </w:p>
    <w:p w14:paraId="63836C14">
      <w:pPr>
        <w:pStyle w:val="173"/>
      </w:pPr>
      <w:r>
        <w:t>病虫防治板块采用绿色防控理念，平台内置虫害预警雷达，结合多源监测数据对虫害风险进行分级预警提示。同时提供天敌投放策略管理功能，支持对七星瓢虫、赤眼蜂、丽蚜小蜂、捕食螨等多种天敌生物进行投放计划制定与执行控制，从源头减少化学农药使用，为农产品质量安全奠定基础。</w:t>
      </w:r>
    </w:p>
    <w:p w14:paraId="36B67BD5">
      <w:pPr>
        <w:pStyle w:val="176"/>
      </w:pPr>
      <w:r>
        <w:t>（六）灾害防控</w:t>
      </w:r>
    </w:p>
    <w:p w14:paraId="5E463EF6">
      <w:pPr>
        <w:pStyle w:val="173"/>
      </w:pPr>
      <w:r>
        <w:t>灾害防控板块面向突发风险事件，平台提供灾害风险预警雷达，可综合展示气象灾害、设备故障、病虫害爆发、环境异常等多类风险预警信息。同时配套完善的应急处理预案库，并接入安防系统控制模块，涵盖电子围栏管理、周边环境声光信号控制和防护网状态监控，帮助园区在异常发生时实现快速响应与处置。</w:t>
      </w:r>
    </w:p>
    <w:p w14:paraId="650A3616">
      <w:pPr>
        <w:pStyle w:val="176"/>
      </w:pPr>
      <w:r>
        <w:t>（七）农残检测</w:t>
      </w:r>
    </w:p>
    <w:p w14:paraId="45C37D34">
      <w:pPr>
        <w:pStyle w:val="173"/>
      </w:pPr>
      <w:r>
        <w:t>农残检测板块面向批次管理，完整记录作物批次、检测项目、检测值、风险等级和检测时间等关键信息。平台采用四色风险等级标识体系：绿色表示低风险，蓝色表示合格检出，橙色表示风险预警，红色表示超标。当检测结果异常时，系统自动提示复核流程并支持拦截上架操作，形成从种植到检测的完整闭环管理，切实保障农产品质量安全。</w:t>
      </w:r>
    </w:p>
    <w:p w14:paraId="48DEE290">
      <w:pPr>
        <w:pStyle w:val="174"/>
      </w:pPr>
      <w:r>
        <w:t>三、平台技术亮点</w:t>
      </w:r>
    </w:p>
    <w:p w14:paraId="696908AB">
      <w:pPr>
        <w:pStyle w:val="173"/>
      </w:pPr>
      <w:r>
        <w:t>平台在技术实现上具有以下亮点：一是多源数据融合能力，将环境监测、气象数据、水肥控制、安防系统等多维度数据统一接入，打破信息孤岛；二是可视化交互设计，支持360度环视、环境音效等沉浸式体验，让远程监控更加直观真实；三是智能预警机制，基于风险等级自动触发复核、拦截等管理动作，实现风险的早发现、早处置；四是闭环管理理念，从种植记录到检测出证形成完整追溯链条，确保每一个环节可记录、可追溯、可管理。</w:t>
      </w:r>
    </w:p>
    <w:p w14:paraId="5F67C193">
      <w:pPr>
        <w:pStyle w:val="174"/>
      </w:pPr>
      <w:r>
        <w:t>四、应用价值</w:t>
      </w:r>
    </w:p>
    <w:p w14:paraId="0284522C">
      <w:pPr>
        <w:pStyle w:val="173"/>
      </w:pPr>
      <w:r>
        <w:t>平台的应用价值主要体现在三个方面：首先，帮助种植者实现大棚环境的精细化管理，通过实时数据监控和智能预警，降低人工巡检成本，提高产量和品质稳定性；其次，通过绿色防控和农残检测闭环管理，从源头上保障农产品质量安全，提升市场竞争力和消费者信任度；最后，通过长期数据积累与分析，为农业生产的智能化决策提供数据支撑，推动传统农业向智慧农业转型，助力乡村振兴和农业现代化发展。</w:t>
      </w:r>
    </w:p>
    <w:p w14:paraId="44B8A09E">
      <w:pPr>
        <w:pStyle w:val="174"/>
      </w:pPr>
      <w:r>
        <w:t>五、未来展望</w:t>
      </w:r>
    </w:p>
    <w:p w14:paraId="53F807F4">
      <w:pPr>
        <w:pStyle w:val="173"/>
      </w:pPr>
      <w:r>
        <w:t>后续我们将继续完善平台功能，重点推进数据接入广度、预警模型精度和移动端覆盖能力的提升，让系统更加贴近真实农业生产需求。同时探索与物联网、人工智能等前沿技术的深度融合，引入机器学习算法优化病虫害识别准确率，拓展平台在更大规模农业场景中的适用性，努力打造更加智能、高效、可靠的智慧农业管理平台，为我国设施农业的数字化转型贡献力量。</w:t>
      </w:r>
    </w:p>
    <w:sectPr>
      <w:footerReference r:id="rId5" w:type="default"/>
      <w:footerReference r:id="rId6" w:type="even"/>
      <w:pgSz w:w="11907" w:h="16840"/>
      <w:pgMar w:top="2098" w:right="1474" w:bottom="1985" w:left="1588" w:header="851" w:footer="1191" w:gutter="0"/>
      <w:pgNumType w:fmt="numberInDash"/>
      <w:cols w:space="720" w:num="1"/>
      <w:docGrid w:type="linesAndChars" w:linePitch="579" w:charSpace="-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方正小标宋简体">
    <w:altName w:val="方正舒体"/>
    <w:panose1 w:val="0201060103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舒体">
    <w:panose1 w:val="02010601030101010101"/>
    <w:charset w:val="86"/>
    <w:family w:val="auto"/>
    <w:pitch w:val="default"/>
    <w:sig w:usb0="00000003"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7855394"/>
      <w:docPartObj>
        <w:docPartGallery w:val="autotext"/>
      </w:docPartObj>
    </w:sdtPr>
    <w:sdtEndPr>
      <w:rPr>
        <w:sz w:val="28"/>
        <w:szCs w:val="28"/>
      </w:rPr>
    </w:sdtEndPr>
    <w:sdtContent>
      <w:p w14:paraId="27FBFBB6">
        <w:pPr>
          <w:pStyle w:val="25"/>
          <w:ind w:right="320"/>
          <w:jc w:val="right"/>
          <w:rPr>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eastAsia="zh-CN"/>
          </w:rPr>
          <w:t>2</w:t>
        </w:r>
        <w:r>
          <w:rPr>
            <w:rFonts w:ascii="宋体" w:hAnsi="宋体" w:eastAsia="宋体"/>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7901050"/>
      <w:docPartObj>
        <w:docPartGallery w:val="autotext"/>
      </w:docPartObj>
    </w:sdtPr>
    <w:sdtEndPr>
      <w:rPr>
        <w:sz w:val="28"/>
        <w:szCs w:val="28"/>
      </w:rPr>
    </w:sdtEndPr>
    <w:sdtContent>
      <w:p w14:paraId="5B8D2653">
        <w:pPr>
          <w:pStyle w:val="25"/>
          <w:ind w:right="1280" w:firstLine="320" w:firstLineChars="100"/>
          <w:rPr>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rPr>
          <w:t>- 1 -</w:t>
        </w:r>
        <w:r>
          <w:rPr>
            <w:rFonts w:ascii="宋体" w:hAnsi="宋体" w:eastAsia="宋体"/>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720"/>
  <w:evenAndOddHeaders w:val="1"/>
  <w:drawingGridHorizontalSpacing w:val="158"/>
  <w:drawingGridVerticalSpacing w:val="579"/>
  <w:displayHorizont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5C2D"/>
    <w:rsid w:val="0004072C"/>
    <w:rsid w:val="0006063C"/>
    <w:rsid w:val="0006113C"/>
    <w:rsid w:val="00094D3C"/>
    <w:rsid w:val="000972BB"/>
    <w:rsid w:val="0015074B"/>
    <w:rsid w:val="001D11F1"/>
    <w:rsid w:val="0029639D"/>
    <w:rsid w:val="00326F90"/>
    <w:rsid w:val="00356AFB"/>
    <w:rsid w:val="003B1304"/>
    <w:rsid w:val="003B1FB0"/>
    <w:rsid w:val="004145A9"/>
    <w:rsid w:val="00450C8D"/>
    <w:rsid w:val="004B2630"/>
    <w:rsid w:val="00600C85"/>
    <w:rsid w:val="00617947"/>
    <w:rsid w:val="00633FDD"/>
    <w:rsid w:val="006D07DD"/>
    <w:rsid w:val="00727822"/>
    <w:rsid w:val="00753614"/>
    <w:rsid w:val="007C4008"/>
    <w:rsid w:val="008103E4"/>
    <w:rsid w:val="0084377E"/>
    <w:rsid w:val="00864E95"/>
    <w:rsid w:val="008773DF"/>
    <w:rsid w:val="0089114D"/>
    <w:rsid w:val="008934D4"/>
    <w:rsid w:val="008F51E3"/>
    <w:rsid w:val="00A15A7C"/>
    <w:rsid w:val="00A31A4E"/>
    <w:rsid w:val="00A47390"/>
    <w:rsid w:val="00AA1D8D"/>
    <w:rsid w:val="00AC0277"/>
    <w:rsid w:val="00B47730"/>
    <w:rsid w:val="00CB0664"/>
    <w:rsid w:val="00D134ED"/>
    <w:rsid w:val="00D159AF"/>
    <w:rsid w:val="00D361E7"/>
    <w:rsid w:val="00D40D4F"/>
    <w:rsid w:val="00D421BD"/>
    <w:rsid w:val="00DA1136"/>
    <w:rsid w:val="00DC4B8F"/>
    <w:rsid w:val="00E03B4B"/>
    <w:rsid w:val="00E651D0"/>
    <w:rsid w:val="00E66816"/>
    <w:rsid w:val="00EE0579"/>
    <w:rsid w:val="00EF31CA"/>
    <w:rsid w:val="00F91E26"/>
    <w:rsid w:val="00FC1FDE"/>
    <w:rsid w:val="00FC693F"/>
    <w:rsid w:val="00FC7695"/>
    <w:rsid w:val="265063D6"/>
    <w:rsid w:val="28B70E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_GB2312" w:eastAsia="仿宋_GB2312" w:hAnsiTheme="minorHAnsi" w:cstheme="minorBidi"/>
      <w:sz w:val="3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9"/>
    <w:semiHidden/>
    <w:unhideWhenUsed/>
    <w:qFormat/>
    <w:uiPriority w:val="99"/>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3">
    <w:name w:val="annotation subject"/>
    <w:basedOn w:val="17"/>
    <w:next w:val="17"/>
    <w:link w:val="170"/>
    <w:semiHidden/>
    <w:unhideWhenUsed/>
    <w:qFormat/>
    <w:uiPriority w:val="99"/>
    <w:rPr>
      <w:b/>
      <w:bCs/>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annotation reference"/>
    <w:basedOn w:val="134"/>
    <w:semiHidden/>
    <w:unhideWhenUsed/>
    <w:qFormat/>
    <w:uiPriority w:val="99"/>
    <w:rPr>
      <w:sz w:val="21"/>
      <w:szCs w:val="21"/>
    </w:rPr>
  </w:style>
  <w:style w:type="character" w:customStyle="1" w:styleId="138">
    <w:name w:val="页眉 字符"/>
    <w:basedOn w:val="134"/>
    <w:link w:val="26"/>
    <w:qFormat/>
    <w:uiPriority w:val="99"/>
  </w:style>
  <w:style w:type="character" w:customStyle="1" w:styleId="139">
    <w:name w:val="页脚 字符"/>
    <w:basedOn w:val="134"/>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20"/>
    <w:uiPriority w:val="99"/>
  </w:style>
  <w:style w:type="character" w:customStyle="1" w:styleId="148">
    <w:name w:val="正文文本 2 字符"/>
    <w:basedOn w:val="134"/>
    <w:link w:val="29"/>
    <w:qFormat/>
    <w:uiPriority w:val="99"/>
  </w:style>
  <w:style w:type="character" w:customStyle="1" w:styleId="149">
    <w:name w:val="正文文本 3 字符"/>
    <w:basedOn w:val="134"/>
    <w:link w:val="18"/>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全文一级大标题"/>
    <w:basedOn w:val="1"/>
    <w:link w:val="168"/>
    <w:qFormat/>
    <w:uiPriority w:val="0"/>
    <w:pPr>
      <w:spacing w:after="0" w:line="640" w:lineRule="exact"/>
      <w:jc w:val="center"/>
    </w:pPr>
    <w:rPr>
      <w:rFonts w:ascii="方正小标宋简体" w:hAnsi="仿宋" w:eastAsia="方正小标宋简体"/>
      <w:sz w:val="44"/>
      <w:lang w:eastAsia="zh-CN"/>
    </w:rPr>
  </w:style>
  <w:style w:type="character" w:customStyle="1" w:styleId="168">
    <w:name w:val="全文一级大标题 字符"/>
    <w:basedOn w:val="134"/>
    <w:link w:val="167"/>
    <w:qFormat/>
    <w:uiPriority w:val="0"/>
    <w:rPr>
      <w:rFonts w:ascii="方正小标宋简体" w:hAnsi="仿宋" w:eastAsia="方正小标宋简体"/>
      <w:sz w:val="44"/>
      <w:lang w:eastAsia="zh-CN"/>
    </w:rPr>
  </w:style>
  <w:style w:type="character" w:customStyle="1" w:styleId="169">
    <w:name w:val="批注文字 字符"/>
    <w:basedOn w:val="134"/>
    <w:link w:val="17"/>
    <w:semiHidden/>
    <w:qFormat/>
    <w:uiPriority w:val="99"/>
    <w:rPr>
      <w:rFonts w:ascii="仿宋_GB2312" w:eastAsia="仿宋_GB2312"/>
      <w:sz w:val="32"/>
    </w:rPr>
  </w:style>
  <w:style w:type="character" w:customStyle="1" w:styleId="170">
    <w:name w:val="批注主题 字符"/>
    <w:basedOn w:val="169"/>
    <w:link w:val="33"/>
    <w:semiHidden/>
    <w:qFormat/>
    <w:uiPriority w:val="99"/>
    <w:rPr>
      <w:rFonts w:ascii="仿宋_GB2312" w:eastAsia="仿宋_GB2312"/>
      <w:b/>
      <w:bCs/>
      <w:sz w:val="32"/>
    </w:rPr>
  </w:style>
  <w:style w:type="paragraph" w:customStyle="1" w:styleId="171">
    <w:name w:val="ne-p"/>
    <w:basedOn w:val="1"/>
    <w:qFormat/>
    <w:uiPriority w:val="0"/>
    <w:pPr>
      <w:spacing w:before="100" w:beforeAutospacing="1" w:after="100" w:afterAutospacing="1" w:line="240" w:lineRule="auto"/>
    </w:pPr>
    <w:rPr>
      <w:rFonts w:ascii="宋体" w:hAnsi="宋体" w:eastAsia="宋体" w:cs="宋体"/>
      <w:sz w:val="24"/>
      <w:szCs w:val="24"/>
      <w:lang w:eastAsia="zh-CN"/>
    </w:rPr>
  </w:style>
  <w:style w:type="character" w:customStyle="1" w:styleId="172">
    <w:name w:val="ne-text"/>
    <w:basedOn w:val="134"/>
    <w:qFormat/>
    <w:uiPriority w:val="0"/>
  </w:style>
  <w:style w:type="paragraph" w:customStyle="1" w:styleId="173">
    <w:name w:val="文本正文"/>
    <w:basedOn w:val="1"/>
    <w:link w:val="175"/>
    <w:qFormat/>
    <w:uiPriority w:val="0"/>
    <w:pPr>
      <w:spacing w:after="0" w:line="560" w:lineRule="exact"/>
      <w:ind w:firstLine="200" w:firstLineChars="200"/>
      <w:jc w:val="both"/>
    </w:pPr>
    <w:rPr>
      <w:rFonts w:hAnsi="仿宋" w:eastAsia="仿宋"/>
      <w:lang w:eastAsia="zh-CN"/>
    </w:rPr>
  </w:style>
  <w:style w:type="paragraph" w:customStyle="1" w:styleId="174">
    <w:name w:val="正文一级标题"/>
    <w:basedOn w:val="1"/>
    <w:link w:val="177"/>
    <w:qFormat/>
    <w:uiPriority w:val="0"/>
    <w:pPr>
      <w:spacing w:after="0" w:line="560" w:lineRule="exact"/>
      <w:ind w:firstLine="200" w:firstLineChars="200"/>
      <w:jc w:val="both"/>
    </w:pPr>
    <w:rPr>
      <w:rFonts w:ascii="黑体" w:hAnsi="仿宋" w:eastAsia="黑体"/>
      <w:lang w:eastAsia="zh-CN"/>
    </w:rPr>
  </w:style>
  <w:style w:type="character" w:customStyle="1" w:styleId="175">
    <w:name w:val="文本正文 字符"/>
    <w:basedOn w:val="134"/>
    <w:link w:val="173"/>
    <w:qFormat/>
    <w:uiPriority w:val="0"/>
    <w:rPr>
      <w:rFonts w:ascii="仿宋_GB2312" w:hAnsi="仿宋" w:eastAsia="仿宋_GB2312"/>
      <w:sz w:val="32"/>
      <w:lang w:eastAsia="zh-CN"/>
    </w:rPr>
  </w:style>
  <w:style w:type="paragraph" w:customStyle="1" w:styleId="176">
    <w:name w:val="正文二级标题"/>
    <w:basedOn w:val="1"/>
    <w:link w:val="178"/>
    <w:qFormat/>
    <w:uiPriority w:val="0"/>
    <w:pPr>
      <w:spacing w:after="0" w:line="560" w:lineRule="exact"/>
      <w:ind w:firstLine="200" w:firstLineChars="200"/>
      <w:jc w:val="both"/>
    </w:pPr>
    <w:rPr>
      <w:rFonts w:ascii="楷体_GB2312" w:hAnsi="仿宋" w:eastAsia="楷体_GB2312"/>
      <w:lang w:eastAsia="zh-CN"/>
    </w:rPr>
  </w:style>
  <w:style w:type="character" w:customStyle="1" w:styleId="177">
    <w:name w:val="正文一级标题 字符"/>
    <w:basedOn w:val="134"/>
    <w:link w:val="174"/>
    <w:qFormat/>
    <w:uiPriority w:val="0"/>
    <w:rPr>
      <w:rFonts w:ascii="黑体" w:hAnsi="仿宋" w:eastAsia="黑体"/>
      <w:sz w:val="32"/>
      <w:lang w:eastAsia="zh-CN"/>
    </w:rPr>
  </w:style>
  <w:style w:type="character" w:customStyle="1" w:styleId="178">
    <w:name w:val="正文二级标题 字符"/>
    <w:basedOn w:val="134"/>
    <w:link w:val="176"/>
    <w:qFormat/>
    <w:uiPriority w:val="0"/>
    <w:rPr>
      <w:rFonts w:ascii="楷体_GB2312" w:hAnsi="仿宋" w:eastAsia="楷体_GB2312"/>
      <w:sz w:val="32"/>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1786</Words>
  <Characters>1791</Characters>
  <Lines>5</Lines>
  <Paragraphs>1</Paragraphs>
  <TotalTime>1</TotalTime>
  <ScaleCrop>false</ScaleCrop>
  <LinksUpToDate>false</LinksUpToDate>
  <CharactersWithSpaces>1791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2025-10-11T07:52:00Z</dcterms:created>
  <dc:creator>python-docx</dc:creator>
  <dc:description>generated by python-docx</dc:description>
  <cp:lastModifiedBy>祝余</cp:lastModifiedBy>
  <dcterms:modified xsi:type="dcterms:W3CDTF">2026-10-04T02:44:04Z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BBAAD9C20014179B94A0072836F0BBE092B9B20D101B2B20A5D98F3CB1392B090B4BB43801CD2B0422E92008984680EB95E921FAC1D01B111BBFC22E762E3FDA24DDB0ADC1278987C4F92F676C5F4394BC60E7C87C9D42A0A80DB1977C82DC08DDE6209CFE3</vt:lpwstr>
  </property>
  <property fmtid="{D5CDD505-2E9C-101B-9397-08002B2CF9AE}" pid="3" name="KSOTemplateDocerSaveRecord">
    <vt:lpwstr>eyJoZGlkIjoiZmVlYTYzNWE0MWJkMzQ1MzI3ODU1NjJiYzE3NWVjN2UiLCJ1c2VySWQiOiIxMzc3MzY0Nzk3In0=</vt:lpwstr>
  </property>
  <property fmtid="{D5CDD505-2E9C-101B-9397-08002B2CF9AE}" pid="4" name="KSOProductBuildVer">
    <vt:lpwstr>2052-12.1.0.28043</vt:lpwstr>
  </property>
  <property fmtid="{D5CDD505-2E9C-101B-9397-08002B2CF9AE}" pid="5" name="ICV">
    <vt:lpwstr>878F2E1F0E2A4BCF82C41CE038604C10_13</vt:lpwstr>
  </property>
  <property fmtid="{D5CDD505-2E9C-101B-9397-08002B2CF9AE}" pid="6" name="property2">
    <vt:lpwstr>BBAAD9C20014179B94A0072836F0B1F092B9B2081A4E7BB0A0D98C36B1BC2B062B4BBC3851C38B0622492C08984622EB9DE921AA41D04B011BBFC2597B0E34D524DC0DAD6C26F9A7F4F42D37614F4CB57D6CE8E872664170F88FD19F535D0CC8DC9620962E3</vt:lpwstr>
  </property>
</Properties>
</file>