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Сценарий 2 эпизод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br w:type="textWrapping"/>
        <w:t xml:space="preserve">Генрих: Что это было? И почему так болит голова… Опять я ничего не помню!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Фотокарточка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Мама… папа… 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Окно: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Черт… опять ничего не видать… (после того как очистил): Черт, сто лет не видел рассвета… И все же, кто это был?... В том сне?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t xml:space="preserve">Падающая бутылка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Кажется, вчера мы с Мартином опять перепили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Радио: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Да заткнись ты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Цветок: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Совсем ты пожух, бедняга. (после того как полил вином): Вот так-то лучше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t xml:space="preserve">Сигареты: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Надо бросать курить… Ну еще последнюю!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Зеркало (проходит и не видит отражения):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Что… Что за чертовщина? Я что, опять сплю? (возвращается обратно и видит)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