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B57"/>
          <w:sz w:val="52"/>
        </w:rPr>
        <w:t>GUÍA PASO A PASO PARA EL ESTUDIANTE</w:t>
      </w:r>
    </w:p>
    <w:p>
      <w:pPr>
        <w:jc w:val="center"/>
      </w:pPr>
      <w:r>
        <w:rPr>
          <w:i/>
          <w:sz w:val="28"/>
        </w:rPr>
        <w:t>Cómo ejecutar el entorno en GitHub Codespaces, auditar la equidad de tu dataset con Fairlearn, mitigar el sesgo y explicarlo con SHAP</w:t>
      </w:r>
    </w:p>
    <w:p>
      <w:pPr>
        <w:jc w:val="center"/>
      </w:pPr>
      <w:r>
        <w:rPr>
          <w:sz w:val="24"/>
        </w:rPr>
        <w:t>Unidad 2 — Calidad, Seguridad y Mejores Prácticas en Desarrollos con Ciencia de Datos</w:t>
      </w:r>
    </w:p>
    <w:p>
      <w:pPr>
        <w:jc w:val="center"/>
      </w:pPr>
      <w:r>
        <w:rPr>
          <w:sz w:val="24"/>
        </w:rPr>
        <w:t>Seminario de Ciencia de Datos II</w:t>
      </w:r>
    </w:p>
    <w:p>
      <w:pPr>
        <w:jc w:val="center"/>
      </w:pPr>
      <w:r>
        <w:rPr>
          <w:sz w:val="24"/>
        </w:rPr>
        <w:t>Licenciatura en Ciencia de Datos — Departamento de Sistemas</w:t>
      </w:r>
    </w:p>
    <w:p/>
    <w:p/>
    <w:p/>
    <w:p/>
    <w:p>
      <w:pPr>
        <w:jc w:val="center"/>
      </w:pPr>
      <w:r>
        <w:rPr>
          <w:sz w:val="22"/>
        </w:rPr>
        <w:t>Cuatrimestre y año: 2do Cuatrimestre 2026</w:t>
      </w:r>
    </w:p>
    <w:p>
      <w:pPr>
        <w:jc w:val="center"/>
      </w:pPr>
      <w:r>
        <w:rPr>
          <w:sz w:val="22"/>
        </w:rPr>
        <w:t>Docentes a cargo: Miguel Méndez Garabetti, Eduardo Piray</w:t>
      </w:r>
    </w:p>
    <w:p>
      <w:pPr>
        <w:jc w:val="center"/>
      </w:pPr>
      <w:r>
        <w:rPr>
          <w:sz w:val="22"/>
        </w:rPr>
        <w:t>Documento de apoyo para los estudiantes</w:t>
      </w:r>
    </w:p>
    <w:p>
      <w:pPr>
        <w:jc w:val="center"/>
      </w:pPr>
      <w:r>
        <w:rPr>
          <w:sz w:val="22"/>
        </w:rPr>
        <w:t>Septiembre de 2026</w:t>
      </w:r>
    </w:p>
    <w:p>
      <w:r>
        <w:br w:type="page"/>
      </w:r>
    </w:p>
    <w:p>
      <w:pPr>
        <w:pStyle w:val="Heading1"/>
      </w:pPr>
      <w:r>
        <w:t>1. Introducción</w:t>
      </w:r>
    </w:p>
    <w:p>
      <w:r>
        <w:t>Este documento resume, paso a paso, cómo poner en marcha la plantilla base de la Unidad 2 en GitHub Codespaces, cómo apuntarla a tu propio dataset, cómo auditar y mitigar el sesgo con Fairlearn, cómo explicar el modelo con SHAP, y cómo cerrar y entregar tu actividad actualizando tu propio repositorio forkeado.</w:t>
      </w:r>
    </w:p>
    <w:p>
      <w:r>
        <w:rPr>
          <w:b/>
        </w:rPr>
        <w:t xml:space="preserve">Repositorio plantilla de la cátedra: </w:t>
      </w:r>
      <w:r>
        <w:t>https://github.com/epirayucaece/ucaece-sem-cd2-act</w:t>
      </w:r>
    </w:p>
    <w:p>
      <w:r>
        <w:rPr>
          <w:b/>
        </w:rPr>
        <w:t xml:space="preserve">Importante: </w:t>
      </w:r>
      <w:r>
        <w:t>este repositorio agrupa varias unidades del seminario, cada una con su propio entorno. Por eso el Codespace no se crea con el atajo de un clic, sino eligiendo explícitamente la configuración de Unidad 2, como se detalla en la sección 3.2.</w:t>
      </w:r>
    </w:p>
    <w:p>
      <w:r>
        <w:rPr>
          <w:b/>
        </w:rPr>
        <w:t xml:space="preserve">El código ya está completo: </w:t>
      </w:r>
      <w:r>
        <w:t>no necesitás implementar el pipeline de auditoría de equidad. Tu trabajo es configurarlo (variables de entorno), ejecutarlo, interpretar lo que genera y, si querés, sumar una única línea de código opcional (sección 7). El foco evaluativo de la actividad es tu análisis, no tu programación.</w:t>
      </w:r>
    </w:p>
    <w:p>
      <w:pPr>
        <w:pStyle w:val="Heading1"/>
      </w:pPr>
      <w:r>
        <w:t>2. Cómo se divide la actividad: qué resolvés dónde</w:t>
      </w:r>
    </w:p>
    <w:p>
      <w:r>
        <w:t>La actividad tiene un bloque teórico (consignas 1 a 6, 5 puntos) que se responde en un documento Word/PDF aparte y no requiere el entorno, y un bloque práctico (consignas 7 a 11, 5 puntos) que se resuelve enteramente en este repositorio. Esta guía cubre el bloque práctico en detalle, y señala en qué secciones del entorno vas a encontrar la evidencia que necesitás para completar el bloque teórico.</w:t>
      </w:r>
    </w:p>
    <w:tbl>
      <w:tblPr>
        <w:tblStyle w:val="TableGrid"/>
        <w:tblW w:type="auto" w:w="0"/>
        <w:jc w:val="center"/>
        <w:tblLook w:firstColumn="1" w:firstRow="1" w:lastColumn="0" w:lastRow="0" w:noHBand="0" w:noVBand="1" w:val="04A0"/>
      </w:tblPr>
      <w:tblGrid>
        <w:gridCol w:w="4703"/>
        <w:gridCol w:w="4703"/>
      </w:tblGrid>
      <w:tr>
        <w:tc>
          <w:tcPr>
            <w:tcW w:type="dxa" w:w="4703"/>
            <w:shd w:val="clear" w:fill="1F3B57"/>
          </w:tcPr>
          <w:p>
            <w:r/>
            <w:r>
              <w:rPr>
                <w:b/>
                <w:color w:val="FFFFFF"/>
                <w:sz w:val="21"/>
              </w:rPr>
              <w:t>Consigna</w:t>
            </w:r>
          </w:p>
        </w:tc>
        <w:tc>
          <w:tcPr>
            <w:tcW w:type="dxa" w:w="4703"/>
            <w:shd w:val="clear" w:fill="1F3B57"/>
          </w:tcPr>
          <w:p>
            <w:r/>
            <w:r>
              <w:rPr>
                <w:b/>
                <w:color w:val="FFFFFF"/>
                <w:sz w:val="21"/>
              </w:rPr>
              <w:t>Dónde se resuelve</w:t>
            </w:r>
          </w:p>
        </w:tc>
      </w:tr>
      <w:tr>
        <w:tc>
          <w:tcPr>
            <w:tcW w:type="dxa" w:w="4703"/>
          </w:tcPr>
          <w:p>
            <w:r/>
            <w:r>
              <w:rPr>
                <w:sz w:val="20"/>
              </w:rPr>
              <w:t>1. Selección del caso real</w:t>
            </w:r>
          </w:p>
        </w:tc>
        <w:tc>
          <w:tcPr>
            <w:tcW w:type="dxa" w:w="4703"/>
          </w:tcPr>
          <w:p>
            <w:r/>
            <w:r>
              <w:rPr>
                <w:sz w:val="20"/>
              </w:rPr>
              <w:t>Documento Word/PDF (conceptual, no requiere el entorno)</w:t>
            </w:r>
          </w:p>
        </w:tc>
      </w:tr>
      <w:tr>
        <w:tc>
          <w:tcPr>
            <w:tcW w:type="dxa" w:w="4703"/>
          </w:tcPr>
          <w:p>
            <w:r/>
            <w:r>
              <w:rPr>
                <w:sz w:val="20"/>
              </w:rPr>
              <w:t>2. Descripción del sistema y contexto</w:t>
            </w:r>
          </w:p>
        </w:tc>
        <w:tc>
          <w:tcPr>
            <w:tcW w:type="dxa" w:w="4703"/>
          </w:tcPr>
          <w:p>
            <w:r/>
            <w:r>
              <w:rPr>
                <w:sz w:val="20"/>
              </w:rPr>
              <w:t>Documento Word/PDF (conceptual)</w:t>
            </w:r>
          </w:p>
        </w:tc>
      </w:tr>
      <w:tr>
        <w:tc>
          <w:tcPr>
            <w:tcW w:type="dxa" w:w="4703"/>
          </w:tcPr>
          <w:p>
            <w:r/>
            <w:r>
              <w:rPr>
                <w:sz w:val="20"/>
              </w:rPr>
              <w:t>3. Evidencia de sesgo o inequidad</w:t>
            </w:r>
          </w:p>
        </w:tc>
        <w:tc>
          <w:tcPr>
            <w:tcW w:type="dxa" w:w="4703"/>
          </w:tcPr>
          <w:p>
            <w:r/>
            <w:r>
              <w:rPr>
                <w:sz w:val="20"/>
              </w:rPr>
              <w:t>Documento Word/PDF, apoyado en las métricas de la sección 4 de esta guía</w:t>
            </w:r>
          </w:p>
        </w:tc>
      </w:tr>
      <w:tr>
        <w:tc>
          <w:tcPr>
            <w:tcW w:type="dxa" w:w="4703"/>
          </w:tcPr>
          <w:p>
            <w:r/>
            <w:r>
              <w:rPr>
                <w:sz w:val="20"/>
              </w:rPr>
              <w:t>4. Técnicas de XAI / auditoría preventiva</w:t>
            </w:r>
          </w:p>
        </w:tc>
        <w:tc>
          <w:tcPr>
            <w:tcW w:type="dxa" w:w="4703"/>
          </w:tcPr>
          <w:p>
            <w:r/>
            <w:r>
              <w:rPr>
                <w:sz w:val="20"/>
              </w:rPr>
              <w:t>Documento Word/PDF, apoyado en las explicaciones SHAP de la sección 6</w:t>
            </w:r>
          </w:p>
        </w:tc>
      </w:tr>
      <w:tr>
        <w:tc>
          <w:tcPr>
            <w:tcW w:type="dxa" w:w="4703"/>
          </w:tcPr>
          <w:p>
            <w:r/>
            <w:r>
              <w:rPr>
                <w:sz w:val="20"/>
              </w:rPr>
              <w:t>5. Marco de IA responsable / regulatorio</w:t>
            </w:r>
          </w:p>
        </w:tc>
        <w:tc>
          <w:tcPr>
            <w:tcW w:type="dxa" w:w="4703"/>
          </w:tcPr>
          <w:p>
            <w:r/>
            <w:r>
              <w:rPr>
                <w:sz w:val="20"/>
              </w:rPr>
              <w:t>Documento Word/PDF (conceptual)</w:t>
            </w:r>
          </w:p>
        </w:tc>
      </w:tr>
      <w:tr>
        <w:tc>
          <w:tcPr>
            <w:tcW w:type="dxa" w:w="4703"/>
          </w:tcPr>
          <w:p>
            <w:r/>
            <w:r>
              <w:rPr>
                <w:sz w:val="20"/>
              </w:rPr>
              <w:t>6. Propuesta de mejoras</w:t>
            </w:r>
          </w:p>
        </w:tc>
        <w:tc>
          <w:tcPr>
            <w:tcW w:type="dxa" w:w="4703"/>
          </w:tcPr>
          <w:p>
            <w:r/>
            <w:r>
              <w:rPr>
                <w:sz w:val="20"/>
              </w:rPr>
              <w:t>Documento Word/PDF (conceptual)</w:t>
            </w:r>
          </w:p>
        </w:tc>
      </w:tr>
      <w:tr>
        <w:tc>
          <w:tcPr>
            <w:tcW w:type="dxa" w:w="4703"/>
          </w:tcPr>
          <w:p>
            <w:r/>
            <w:r>
              <w:rPr>
                <w:sz w:val="20"/>
              </w:rPr>
              <w:t>7. Preparación del entorno</w:t>
            </w:r>
          </w:p>
        </w:tc>
        <w:tc>
          <w:tcPr>
            <w:tcW w:type="dxa" w:w="4703"/>
          </w:tcPr>
          <w:p>
            <w:r/>
            <w:r>
              <w:rPr>
                <w:sz w:val="20"/>
              </w:rPr>
              <w:t>Entorno — sección 3 de esta guía</w:t>
            </w:r>
          </w:p>
        </w:tc>
      </w:tr>
      <w:tr>
        <w:tc>
          <w:tcPr>
            <w:tcW w:type="dxa" w:w="4703"/>
          </w:tcPr>
          <w:p>
            <w:r/>
            <w:r>
              <w:rPr>
                <w:sz w:val="20"/>
              </w:rPr>
              <w:t>8. Reproducción cuantitativa del sesgo</w:t>
            </w:r>
          </w:p>
        </w:tc>
        <w:tc>
          <w:tcPr>
            <w:tcW w:type="dxa" w:w="4703"/>
          </w:tcPr>
          <w:p>
            <w:r/>
            <w:r>
              <w:rPr>
                <w:sz w:val="20"/>
              </w:rPr>
              <w:t>Entorno — sección 4 de esta guía</w:t>
            </w:r>
          </w:p>
        </w:tc>
      </w:tr>
      <w:tr>
        <w:tc>
          <w:tcPr>
            <w:tcW w:type="dxa" w:w="4703"/>
          </w:tcPr>
          <w:p>
            <w:r/>
            <w:r>
              <w:rPr>
                <w:sz w:val="20"/>
              </w:rPr>
              <w:t>9. Mitigación del sesgo</w:t>
            </w:r>
          </w:p>
        </w:tc>
        <w:tc>
          <w:tcPr>
            <w:tcW w:type="dxa" w:w="4703"/>
          </w:tcPr>
          <w:p>
            <w:r/>
            <w:r>
              <w:rPr>
                <w:sz w:val="20"/>
              </w:rPr>
              <w:t>Entorno — sección 5 de esta guía</w:t>
            </w:r>
          </w:p>
        </w:tc>
      </w:tr>
      <w:tr>
        <w:tc>
          <w:tcPr>
            <w:tcW w:type="dxa" w:w="4703"/>
          </w:tcPr>
          <w:p>
            <w:r/>
            <w:r>
              <w:rPr>
                <w:sz w:val="20"/>
              </w:rPr>
              <w:t>10. Explicabilidad (SHAP)</w:t>
            </w:r>
          </w:p>
        </w:tc>
        <w:tc>
          <w:tcPr>
            <w:tcW w:type="dxa" w:w="4703"/>
          </w:tcPr>
          <w:p>
            <w:r/>
            <w:r>
              <w:rPr>
                <w:sz w:val="20"/>
              </w:rPr>
              <w:t>Entorno — sección 6 de esta guía</w:t>
            </w:r>
          </w:p>
        </w:tc>
      </w:tr>
      <w:tr>
        <w:tc>
          <w:tcPr>
            <w:tcW w:type="dxa" w:w="4703"/>
          </w:tcPr>
          <w:p>
            <w:r/>
            <w:r>
              <w:rPr>
                <w:sz w:val="20"/>
              </w:rPr>
              <w:t>11. Registro y entrega</w:t>
            </w:r>
          </w:p>
        </w:tc>
        <w:tc>
          <w:tcPr>
            <w:tcW w:type="dxa" w:w="4703"/>
          </w:tcPr>
          <w:p>
            <w:r/>
            <w:r>
              <w:rPr>
                <w:sz w:val="20"/>
              </w:rPr>
              <w:t>Entorno + Documento — sección 9 de esta guía</w:t>
            </w:r>
          </w:p>
        </w:tc>
      </w:tr>
    </w:tbl>
    <w:p/>
    <w:p>
      <w:pPr>
        <w:pStyle w:val="Heading1"/>
      </w:pPr>
      <w:r>
        <w:t>3. Paso a paso: preparar el entorno en GitHub Codespaces (consigna 7)</w:t>
      </w:r>
    </w:p>
    <w:p>
      <w:pPr>
        <w:pStyle w:val="Heading2"/>
      </w:pPr>
      <w:r>
        <w:t>3.1 Crear tu copia del repositorio (fork)</w:t>
      </w:r>
    </w:p>
    <w:p>
      <w:pPr>
        <w:pStyle w:val="ListNumber"/>
      </w:pPr>
      <w:r>
        <w:t>Ingresá al repositorio plantilla de la cátedra: https://github.com/epirayucaece/ucaece-sem-cd2-act.</w:t>
      </w:r>
    </w:p>
    <w:p>
      <w:pPr>
        <w:pStyle w:val="ListNumber"/>
      </w:pPr>
      <w:r>
        <w:t>Hacé clic en Fork (arriba a la derecha) para crear tu propia copia bajo tu cuenta de GitHub.</w:t>
      </w:r>
    </w:p>
    <w:p>
      <w:pPr>
        <w:pStyle w:val="ListNumber"/>
      </w:pPr>
      <w:r>
        <w:t>Confirmá el fork dejando el nombre de repositorio por defecto.</w:t>
      </w:r>
    </w:p>
    <w:p>
      <w:pPr>
        <w:pStyle w:val="Heading2"/>
      </w:pPr>
      <w:r>
        <w:t>3.2 Crear el Codespace de Unidad 2 (consigna 7.a y 7.b)</w:t>
      </w:r>
    </w:p>
    <w:p>
      <w:r>
        <w:t>Este repositorio agrupa varias unidades del seminario, cada una con su propia configuración de entorno. Por eso hay que elegir explícitamente cuál usar: el botón de un clic no garantiza que se levante la de Unidad 2.</w:t>
      </w:r>
    </w:p>
    <w:p>
      <w:pPr>
        <w:pStyle w:val="ListNumber"/>
      </w:pPr>
      <w:r>
        <w:t>En tu repositorio forkeado, andá a Code → Codespaces.</w:t>
      </w:r>
    </w:p>
    <w:p>
      <w:pPr>
        <w:pStyle w:val="ListNumber"/>
      </w:pPr>
      <w:r>
        <w:t>Hacé clic en los tres puntos ("...") junto al botón verde y elegí New with options.</w:t>
      </w:r>
    </w:p>
    <w:p>
      <w:pPr>
        <w:pStyle w:val="ListNumber"/>
      </w:pPr>
      <w:r>
        <w:t>En el campo Dev container configuration, seleccioná unidad2-seminario-cd2.</w:t>
      </w:r>
    </w:p>
    <w:p>
      <w:pPr>
        <w:pStyle w:val="ListNumber"/>
      </w:pPr>
      <w:r>
        <w:t>Hacé clic en Create codespace.</w:t>
      </w:r>
    </w:p>
    <w:p>
      <w:pPr>
        <w:pStyle w:val="ListNumber"/>
      </w:pPr>
      <w:r>
        <w:t>Esperá a que el Codespace termine de levantar: instala automáticamente las dependencias de requirements.txt (postCreateCommand del devcontainer), no hace falta ningún paso manual. La terminal se abre directamente parada en la carpeta unidad2/.</w:t>
      </w:r>
    </w:p>
    <w:p>
      <w:pPr>
        <w:pStyle w:val="ListNumber"/>
      </w:pPr>
      <w:r>
        <w:t>Verificá que Python esté disponible corriendo en la terminal:</w:t>
      </w:r>
    </w:p>
    <w:p>
      <w:pPr>
        <w:spacing w:before="80" w:after="200"/>
        <w:shd w:val="clear" w:fill="F2F2F2"/>
      </w:pPr>
      <w:r>
        <w:rPr>
          <w:rFonts w:ascii="Consolas" w:hAnsi="Consolas"/>
          <w:sz w:val="20"/>
        </w:rPr>
        <w:t>python3 --version</w:t>
      </w:r>
    </w:p>
    <w:p>
      <w:pPr>
        <w:pStyle w:val="Heading2"/>
      </w:pPr>
      <w:r>
        <w:t>3.3 Dependencias ya instaladas (consigna 7.c)</w:t>
      </w:r>
    </w:p>
    <w:p>
      <w:r>
        <w:t>Las versiones exactas de las librerías quedan registradas en requirements.txt (fairlearn, scikit-learn, shap, pandas, numpy, matplotlib, python-dotenv) y se instalan solas al crear el Codespace. Si en algún momento necesitás reinstalarlas manualmente:</w:t>
      </w:r>
    </w:p>
    <w:p>
      <w:pPr>
        <w:spacing w:before="80" w:after="200"/>
        <w:shd w:val="clear" w:fill="F2F2F2"/>
      </w:pPr>
      <w:r>
        <w:rPr>
          <w:rFonts w:ascii="Consolas" w:hAnsi="Consolas"/>
          <w:sz w:val="20"/>
        </w:rPr>
        <w:t>pip install -r requirements.txt</w:t>
      </w:r>
    </w:p>
    <w:p>
      <w:pPr>
        <w:pStyle w:val="Heading2"/>
      </w:pPr>
      <w:r>
        <w:t>3.4 Correr la demo para validar que el entorno funciona</w:t>
      </w:r>
    </w:p>
    <w:p>
      <w:r>
        <w:t>Antes de tocar nada, corré el script tal cual viene. No hace falta ningún archivo de configuración: si no existe DATASET_PATH, el script usa automáticamente un dataset público de demostración (Adult Income, atributo sensible género).</w:t>
      </w:r>
    </w:p>
    <w:p>
      <w:pPr>
        <w:spacing w:before="80" w:after="200"/>
        <w:shd w:val="clear" w:fill="F2F2F2"/>
      </w:pPr>
      <w:r>
        <w:rPr>
          <w:rFonts w:ascii="Consolas" w:hAnsi="Consolas"/>
          <w:sz w:val="20"/>
        </w:rPr>
        <w:t>python -m src.main</w:t>
      </w:r>
    </w:p>
    <w:p>
      <w:r>
        <w:t>Vas a ver en la terminal la exactitud del modelo base y de la mitigación, y al final se generan automáticamente evidencias.md (en la raíz de unidad2/) y varios gráficos PNG dentro de outputs/. Si esto corrió sin errores, tu entorno está listo para el paso 4.</w:t>
      </w:r>
    </w:p>
    <w:p>
      <w:pPr>
        <w:pStyle w:val="Heading1"/>
      </w:pPr>
      <w:r>
        <w:t>4. Paso a paso: reproducir cuantitativamente el sesgo de tu caso (consigna 8)</w:t>
      </w:r>
    </w:p>
    <w:p>
      <w:pPr>
        <w:pStyle w:val="Heading2"/>
      </w:pPr>
      <w:r>
        <w:t>4.1 Elegir tu dataset (consigna 8.a)</w:t>
      </w:r>
    </w:p>
    <w:p>
      <w:r>
        <w:t>Elegí un dataset público, tabular, con al menos un atributo sensible identificable (género, raza, edad, etc.) y coherente con el caso real que elegiste en la consigna 1. La elección queda sujeta a aprobación previa del docente, igual que la elección del caso.</w:t>
      </w:r>
    </w:p>
    <w:p>
      <w:pPr>
        <w:pStyle w:val="Heading2"/>
      </w:pPr>
      <w:r>
        <w:t>4.2 Colocar el dataset en el repositorio</w:t>
      </w:r>
    </w:p>
    <w:p>
      <w:r>
        <w:t>Copiá tu archivo CSV dentro de la carpeta data/ del Codespace (podés arrastrarlo directo al explorador de archivos de VS Code, o subirlo por línea de comandos). Esa carpeta no se versiona (salvo un .gitkeep), así que tu dataset nunca queda público en el repositorio.</w:t>
      </w:r>
    </w:p>
    <w:p>
      <w:pPr>
        <w:pStyle w:val="Heading2"/>
      </w:pPr>
      <w:r>
        <w:t>4.3 Configurar las variables de entorno</w:t>
      </w:r>
    </w:p>
    <w:p>
      <w:pPr>
        <w:pStyle w:val="ListNumber"/>
      </w:pPr>
      <w:r>
        <w:t>Copiá la plantilla de variables de entorno:</w:t>
      </w:r>
    </w:p>
    <w:p>
      <w:pPr>
        <w:spacing w:before="80" w:after="200"/>
        <w:shd w:val="clear" w:fill="F2F2F2"/>
      </w:pPr>
      <w:r>
        <w:rPr>
          <w:rFonts w:ascii="Consolas" w:hAnsi="Consolas"/>
          <w:sz w:val="20"/>
        </w:rPr>
        <w:t>cp .env.example .env</w:t>
      </w:r>
    </w:p>
    <w:p>
      <w:pPr>
        <w:pStyle w:val="ListNumber"/>
      </w:pPr>
      <w:r>
        <w:t>Editá .env y completá, como mínimo:</w:t>
      </w:r>
    </w:p>
    <w:p>
      <w:pPr>
        <w:spacing w:before="80" w:after="200"/>
        <w:shd w:val="clear" w:fill="F2F2F2"/>
      </w:pPr>
      <w:r>
        <w:rPr>
          <w:rFonts w:ascii="Consolas" w:hAnsi="Consolas"/>
          <w:sz w:val="20"/>
        </w:rPr>
        <w:t>DATASET_PATH=data/tu_dataset.csv</w:t>
      </w:r>
      <w:r>
        <w:br/>
      </w:r>
      <w:r>
        <w:rPr>
          <w:rFonts w:ascii="Consolas" w:hAnsi="Consolas"/>
          <w:sz w:val="20"/>
        </w:rPr>
        <w:t>TARGET_COLUMN=nombre_de_tu_columna_objetivo</w:t>
      </w:r>
      <w:r>
        <w:br/>
      </w:r>
      <w:r>
        <w:rPr>
          <w:rFonts w:ascii="Consolas" w:hAnsi="Consolas"/>
          <w:sz w:val="20"/>
        </w:rPr>
        <w:t>SENSITIVE_ATTRIBUTE=nombre_de_tu_atributo_sensible</w:t>
      </w:r>
      <w:r>
        <w:br/>
      </w:r>
      <w:r>
        <w:rPr>
          <w:rFonts w:ascii="Consolas" w:hAnsi="Consolas"/>
          <w:sz w:val="20"/>
        </w:rPr>
        <w:t>POSITIVE_LABEL=valor_que_se_considera_clase_positiva</w:t>
      </w:r>
    </w:p>
    <w:p>
      <w:r>
        <w:rPr>
          <w:b/>
        </w:rPr>
        <w:t>POSITIVE_LABEL</w:t>
      </w:r>
      <w:r>
        <w:t xml:space="preserve"> es el valor de TARGET_COLUMN que el modelo intenta predecir como “positivo” (por ejemplo “Sí”, “1”, “&gt;50K”, “aprobado”). El archivo .env nunca se sube al repositorio (ya está excluido en .gitignore).</w:t>
      </w:r>
    </w:p>
    <w:p>
      <w:pPr>
        <w:pStyle w:val="Heading2"/>
      </w:pPr>
      <w:r>
        <w:t>4.4 Si tu CSV viene "crudo": limpieza rápida (ETL) antes de entrenar</w:t>
      </w:r>
    </w:p>
    <w:p>
      <w:r>
        <w:t>Muchos datasets públicos (por ejemplo, el de COMPAS, que se usó para el ejemplo de esta sección) vienen con decenas de columnas que no deberías usar tal cual: identificadores, texto libre, fechas, o columnas que directamente filtran el resultado que el modelo tiene que predecir (data leakage). El pipeline no adivina cuáles son: acepta cualquier CSV y entrena usando todas las columnas salvo la que configures como TARGET_COLUMN. Elegir qué columnas tienen sentido como features es trabajo de preparación de datos, igual que elegir el dataset en el paso 4.1.</w:t>
      </w:r>
    </w:p>
    <w:p>
      <w:r>
        <w:rPr>
          <w:b/>
        </w:rPr>
        <w:t>Señales de que tu CSV necesita este paso:</w:t>
      </w:r>
    </w:p>
    <w:p>
      <w:pPr>
        <w:pStyle w:val="ListBullet"/>
      </w:pPr>
      <w:r>
        <w:rPr>
          <w:b/>
        </w:rPr>
        <w:t xml:space="preserve">La exactitud del modelo base te da sospechosamente alta </w:t>
      </w:r>
      <w:r>
        <w:rPr>
          <w:b w:val="0"/>
        </w:rPr>
        <w:t>(ej. &gt; 0.95) en un problema que no debería ser tan fácil de predecir → probablemente alguna columna filtra la respuesta.</w:t>
      </w:r>
    </w:p>
    <w:p>
      <w:pPr>
        <w:pStyle w:val="ListBullet"/>
      </w:pPr>
      <w:r>
        <w:rPr>
          <w:b/>
        </w:rPr>
        <w:t xml:space="preserve">La ejecución se cuelga o tarda muchísimo </w:t>
      </w:r>
      <w:r>
        <w:rPr>
          <w:b w:val="0"/>
        </w:rPr>
        <w:t>sin terminar → probablemente hay columnas de texto libre o identificadores casi únicos por fila (nombres, IDs, fechas) que el OneHotEncoder expande en miles de columnas nuevas.</w:t>
      </w:r>
    </w:p>
    <w:p>
      <w:pPr>
        <w:pStyle w:val="ListBullet"/>
      </w:pPr>
      <w:r>
        <w:rPr>
          <w:b/>
        </w:rPr>
        <w:t xml:space="preserve">Advertencia de sklearn </w:t>
      </w:r>
      <w:r>
        <w:rPr>
          <w:b w:val="0"/>
        </w:rPr>
        <w:t>"Skipping features without any observed values" → hay una columna enteramente vacía; no rompe la corrida, pero es señal de que el CSV no está curado.</w:t>
      </w:r>
    </w:p>
    <w:p>
      <w:r>
        <w:t>Solución: quedate solo con las columnas que tengan sentido como features predictoras más tu columna objetivo. Ejemplo real, con el dataset COMPAS (filtrando primero registros inválidos según el criterio del propio análisis de ProPublica, y descartando columnas que filtran el resultado como is_recid o event):</w:t>
      </w:r>
    </w:p>
    <w:p>
      <w:pPr>
        <w:spacing w:before="80" w:after="200"/>
        <w:shd w:val="clear" w:fill="F2F2F2"/>
      </w:pPr>
      <w:r>
        <w:rPr>
          <w:rFonts w:ascii="Consolas" w:hAnsi="Consolas"/>
          <w:sz w:val="18"/>
        </w:rPr>
        <w:t>python -c "</w:t>
      </w:r>
      <w:r>
        <w:br/>
      </w:r>
      <w:r>
        <w:rPr>
          <w:rFonts w:ascii="Consolas" w:hAnsi="Consolas"/>
          <w:sz w:val="18"/>
        </w:rPr>
        <w:t>import pandas as pd</w:t>
      </w:r>
      <w:r>
        <w:br/>
      </w:r>
      <w:r>
        <w:rPr>
          <w:rFonts w:ascii="Consolas" w:hAnsi="Consolas"/>
          <w:sz w:val="18"/>
        </w:rPr>
      </w:r>
      <w:r>
        <w:br/>
      </w:r>
      <w:r>
        <w:rPr>
          <w:rFonts w:ascii="Consolas" w:hAnsi="Consolas"/>
          <w:sz w:val="18"/>
        </w:rPr>
        <w:t>df = pd.read_csv('data/tu_dataset_crudo.csv')</w:t>
      </w:r>
      <w:r>
        <w:br/>
      </w:r>
      <w:r>
        <w:rPr>
          <w:rFonts w:ascii="Consolas" w:hAnsi="Consolas"/>
          <w:sz w:val="18"/>
        </w:rPr>
      </w:r>
      <w:r>
        <w:br/>
      </w:r>
      <w:r>
        <w:rPr>
          <w:rFonts w:ascii="Consolas" w:hAnsi="Consolas"/>
          <w:sz w:val="18"/>
        </w:rPr>
        <w:t># Filtros de calidad específicos del dataset (ajustá o quitá según el tuyo)</w:t>
      </w:r>
      <w:r>
        <w:br/>
      </w:r>
      <w:r>
        <w:rPr>
          <w:rFonts w:ascii="Consolas" w:hAnsi="Consolas"/>
          <w:sz w:val="18"/>
        </w:rPr>
        <w:t># df = df[df['alguna_columna_de_control'] != 'valor_invalido']</w:t>
      </w:r>
      <w:r>
        <w:br/>
      </w:r>
      <w:r>
        <w:rPr>
          <w:rFonts w:ascii="Consolas" w:hAnsi="Consolas"/>
          <w:sz w:val="18"/>
        </w:rPr>
      </w:r>
      <w:r>
        <w:br/>
      </w:r>
      <w:r>
        <w:rPr>
          <w:rFonts w:ascii="Consolas" w:hAnsi="Consolas"/>
          <w:sz w:val="18"/>
        </w:rPr>
        <w:t>columnas = ['columna_a', 'columna_b', 'tu_atributo_sensible', 'tu_columna_objetivo']</w:t>
      </w:r>
      <w:r>
        <w:br/>
      </w:r>
      <w:r>
        <w:rPr>
          <w:rFonts w:ascii="Consolas" w:hAnsi="Consolas"/>
          <w:sz w:val="18"/>
        </w:rPr>
        <w:t>df = df[columnas].dropna()</w:t>
      </w:r>
      <w:r>
        <w:br/>
      </w:r>
      <w:r>
        <w:rPr>
          <w:rFonts w:ascii="Consolas" w:hAnsi="Consolas"/>
          <w:sz w:val="18"/>
        </w:rPr>
        <w:t>df.to_csv('data/tu_dataset_limpio.csv', index=False)</w:t>
      </w:r>
      <w:r>
        <w:br/>
      </w:r>
      <w:r>
        <w:rPr>
          <w:rFonts w:ascii="Consolas" w:hAnsi="Consolas"/>
          <w:sz w:val="18"/>
        </w:rPr>
        <w:t>print(df.shape)</w:t>
      </w:r>
      <w:r>
        <w:br/>
      </w:r>
      <w:r>
        <w:rPr>
          <w:rFonts w:ascii="Consolas" w:hAnsi="Consolas"/>
          <w:sz w:val="18"/>
        </w:rPr>
        <w:t>"</w:t>
      </w:r>
    </w:p>
    <w:p>
      <w:r>
        <w:t>Después, apuntá DATASET_PATH en tu .env al CSV limpio (data/tu_dataset_limpio.csv) y volvé a correr python -m src.main. Una exactitud que baja a un rango más razonable (ni sospechosamente perfecta ni al nivel del azar) es la señal de que la limpieza funcionó.</w:t>
      </w:r>
    </w:p>
    <w:p>
      <w:pPr>
        <w:pStyle w:val="Heading2"/>
      </w:pPr>
      <w:r>
        <w:t>4.5 Entrenar el modelo y calcular las métricas de equidad (consigna 8.b y 8.c)</w:t>
      </w:r>
    </w:p>
    <w:p>
      <w:r>
        <w:t>Con la terminal parada en unidad2/, corré de nuevo el script — ahora contra tu propio dataset:</w:t>
      </w:r>
    </w:p>
    <w:p>
      <w:pPr>
        <w:spacing w:before="80" w:after="200"/>
        <w:shd w:val="clear" w:fill="F2F2F2"/>
      </w:pPr>
      <w:r>
        <w:rPr>
          <w:rFonts w:ascii="Consolas" w:hAnsi="Consolas"/>
          <w:sz w:val="20"/>
        </w:rPr>
        <w:t>python -m src.main</w:t>
      </w:r>
    </w:p>
    <w:p>
      <w:r>
        <w:t>El script hace todo el trabajo automáticamente: separa train/test con semilla fija, entrena una regresión logística, y calcula con Fairlearn la exactitud por grupo, la demographic parity difference y la equalized odds difference. No hace falta que programes ninguno de estos pasos.</w:t>
      </w:r>
    </w:p>
    <w:p>
      <w:pPr>
        <w:pStyle w:val="Heading2"/>
      </w:pPr>
      <w:r>
        <w:t>4.6 Revisar y completar evidencias.md (consigna 8.d)</w:t>
      </w:r>
    </w:p>
    <w:p>
      <w:r>
        <w:t>Abrí el archivo evidencias.md generado en unidad2/. En la sección "Auditoría de equidad — modelo base (pre-mitigación)" vas a encontrar la exactitud global, las dos métricas de disparidad y una tabla con la exactitud y la tasa de selección por grupo. Completá el bloque marcado:</w:t>
      </w:r>
    </w:p>
    <w:p>
      <w:r>
        <w:rPr>
          <w:i/>
        </w:rPr>
        <w:t>&gt; TODO estudiante: interpretá esta tabla vinculándola con el sesgo documentado en el caso real analizado en la consigna 3...</w:t>
      </w:r>
    </w:p>
    <w:p>
      <w:r>
        <w:t>Esa interpretación es, a la vez, la evidencia cuantitativa que tenés que citar en la consigna 3 de tu documento escrito.</w:t>
      </w:r>
    </w:p>
    <w:p>
      <w:pPr>
        <w:pStyle w:val="Heading1"/>
      </w:pPr>
      <w:r>
        <w:t>5. Paso a paso: mitigar el sesgo con Fairlearn (consigna 9)</w:t>
      </w:r>
    </w:p>
    <w:p>
      <w:pPr>
        <w:pStyle w:val="Heading2"/>
      </w:pPr>
      <w:r>
        <w:t>5.1 Elegir la técnica de mitigación y la restricción de equidad (consigna 9.a)</w:t>
      </w:r>
    </w:p>
    <w:p>
      <w:r>
        <w:t>En el mismo .env, agregá (o ajustá) estas dos variables. No hace falta tocar ningún archivo de código para cambiar de técnica:</w:t>
      </w:r>
    </w:p>
    <w:p>
      <w:pPr>
        <w:spacing w:before="80" w:after="200"/>
        <w:shd w:val="clear" w:fill="F2F2F2"/>
      </w:pPr>
      <w:r>
        <w:rPr>
          <w:rFonts w:ascii="Consolas" w:hAnsi="Consolas"/>
          <w:sz w:val="20"/>
        </w:rPr>
        <w:t>MITIGATION_METHOD=exponentiated_gradient</w:t>
      </w:r>
      <w:r>
        <w:br/>
      </w:r>
      <w:r>
        <w:rPr>
          <w:rFonts w:ascii="Consolas" w:hAnsi="Consolas"/>
          <w:sz w:val="20"/>
        </w:rPr>
        <w:t>FAIRNESS_CONSTRAINT=demographic_parity</w:t>
      </w:r>
    </w:p>
    <w:tbl>
      <w:tblPr>
        <w:tblStyle w:val="TableGrid"/>
        <w:tblW w:type="auto" w:w="0"/>
        <w:jc w:val="center"/>
        <w:tblLook w:firstColumn="1" w:firstRow="1" w:lastColumn="0" w:lastRow="0" w:noHBand="0" w:noVBand="1" w:val="04A0"/>
      </w:tblPr>
      <w:tblGrid>
        <w:gridCol w:w="4703"/>
        <w:gridCol w:w="4703"/>
      </w:tblGrid>
      <w:tr>
        <w:tc>
          <w:tcPr>
            <w:tcW w:type="dxa" w:w="4703"/>
            <w:shd w:val="clear" w:fill="1F3B57"/>
          </w:tcPr>
          <w:p>
            <w:r/>
            <w:r>
              <w:rPr>
                <w:b/>
                <w:color w:val="FFFFFF"/>
                <w:sz w:val="21"/>
              </w:rPr>
              <w:t>Valor</w:t>
            </w:r>
          </w:p>
        </w:tc>
        <w:tc>
          <w:tcPr>
            <w:tcW w:type="dxa" w:w="4703"/>
            <w:shd w:val="clear" w:fill="1F3B57"/>
          </w:tcPr>
          <w:p>
            <w:r/>
            <w:r>
              <w:rPr>
                <w:b/>
                <w:color w:val="FFFFFF"/>
                <w:sz w:val="21"/>
              </w:rPr>
              <w:t>Qué hace</w:t>
            </w:r>
          </w:p>
        </w:tc>
      </w:tr>
      <w:tr>
        <w:tc>
          <w:tcPr>
            <w:tcW w:type="dxa" w:w="4703"/>
          </w:tcPr>
          <w:p>
            <w:r/>
            <w:r>
              <w:rPr>
                <w:sz w:val="20"/>
              </w:rPr>
              <w:t>exponentiated_gradient</w:t>
            </w:r>
          </w:p>
        </w:tc>
        <w:tc>
          <w:tcPr>
            <w:tcW w:type="dxa" w:w="4703"/>
          </w:tcPr>
          <w:p>
            <w:r/>
            <w:r>
              <w:rPr>
                <w:sz w:val="20"/>
              </w:rPr>
              <w:t>Reentrena una secuencia de modelos reponderados hasta satisfacer la restricción elegida. Suele preservar mejor la exactitud.</w:t>
            </w:r>
          </w:p>
        </w:tc>
      </w:tr>
      <w:tr>
        <w:tc>
          <w:tcPr>
            <w:tcW w:type="dxa" w:w="4703"/>
          </w:tcPr>
          <w:p>
            <w:r/>
            <w:r>
              <w:rPr>
                <w:sz w:val="20"/>
              </w:rPr>
              <w:t>threshold_optimizer</w:t>
            </w:r>
          </w:p>
        </w:tc>
        <w:tc>
          <w:tcPr>
            <w:tcW w:type="dxa" w:w="4703"/>
          </w:tcPr>
          <w:p>
            <w:r/>
            <w:r>
              <w:rPr>
                <w:sz w:val="20"/>
              </w:rPr>
              <w:t>No reentrena: ajusta un umbral de decisión distinto por grupo sobre el modelo ya entrenado. Más simple de explicar.</w:t>
            </w:r>
          </w:p>
        </w:tc>
      </w:tr>
      <w:tr>
        <w:tc>
          <w:tcPr>
            <w:tcW w:type="dxa" w:w="4703"/>
          </w:tcPr>
          <w:p>
            <w:r/>
            <w:r>
              <w:rPr>
                <w:sz w:val="20"/>
              </w:rPr>
              <w:t>ambos</w:t>
            </w:r>
          </w:p>
        </w:tc>
        <w:tc>
          <w:tcPr>
            <w:tcW w:type="dxa" w:w="4703"/>
          </w:tcPr>
          <w:p>
            <w:r/>
            <w:r>
              <w:rPr>
                <w:sz w:val="20"/>
              </w:rPr>
              <w:t>Corre las dos técnicas en la misma ejecución y las compara en la misma tabla — útil para la discusión de la consigna 9.c.</w:t>
            </w:r>
          </w:p>
        </w:tc>
      </w:tr>
      <w:tr>
        <w:tc>
          <w:tcPr>
            <w:tcW w:type="dxa" w:w="4703"/>
          </w:tcPr>
          <w:p>
            <w:r/>
            <w:r>
              <w:rPr>
                <w:sz w:val="20"/>
              </w:rPr>
              <w:t>demographic_parity</w:t>
            </w:r>
          </w:p>
        </w:tc>
        <w:tc>
          <w:tcPr>
            <w:tcW w:type="dxa" w:w="4703"/>
          </w:tcPr>
          <w:p>
            <w:r/>
            <w:r>
              <w:rPr>
                <w:sz w:val="20"/>
              </w:rPr>
              <w:t>Busca que la tasa de predicciones positivas sea similar entre grupos.</w:t>
            </w:r>
          </w:p>
        </w:tc>
      </w:tr>
      <w:tr>
        <w:tc>
          <w:tcPr>
            <w:tcW w:type="dxa" w:w="4703"/>
          </w:tcPr>
          <w:p>
            <w:r/>
            <w:r>
              <w:rPr>
                <w:sz w:val="20"/>
              </w:rPr>
              <w:t>equalized_odds</w:t>
            </w:r>
          </w:p>
        </w:tc>
        <w:tc>
          <w:tcPr>
            <w:tcW w:type="dxa" w:w="4703"/>
          </w:tcPr>
          <w:p>
            <w:r/>
            <w:r>
              <w:rPr>
                <w:sz w:val="20"/>
              </w:rPr>
              <w:t>Busca que la tasa de verdaderos y falsos positivos sea similar entre grupos — restricción más exigente.</w:t>
            </w:r>
          </w:p>
        </w:tc>
      </w:tr>
    </w:tbl>
    <w:p/>
    <w:p>
      <w:pPr>
        <w:pStyle w:val="Heading2"/>
      </w:pPr>
      <w:r>
        <w:t>5.2 Volver a ejecutar (consigna 9.b)</w:t>
      </w:r>
    </w:p>
    <w:p>
      <w:pPr>
        <w:spacing w:before="80" w:after="200"/>
        <w:shd w:val="clear" w:fill="F2F2F2"/>
      </w:pPr>
      <w:r>
        <w:rPr>
          <w:rFonts w:ascii="Consolas" w:hAnsi="Consolas"/>
          <w:sz w:val="20"/>
        </w:rPr>
        <w:t>python -m src.main</w:t>
      </w:r>
    </w:p>
    <w:p>
      <w:r>
        <w:t>El script recalcula automáticamente las mismas métricas de equidad sobre el modelo mitigado y las agrega a la tabla comparativa de evidencias.md, junto con el gráfico outputs/comparacion_metricas.png.</w:t>
      </w:r>
    </w:p>
    <w:p>
      <w:pPr>
        <w:pStyle w:val="Heading2"/>
      </w:pPr>
      <w:r>
        <w:t>5.3 Interpretar el antes/después (consigna 9.c)</w:t>
      </w:r>
    </w:p>
    <w:p>
      <w:r>
        <w:t>En evidencias.md, sección "Comparación antes / después de la mitigación", vas a ver una fila por escenario (modelo base, y cada técnica de mitigación que hayas corrido). Completá el bloque:</w:t>
      </w:r>
    </w:p>
    <w:p>
      <w:r>
        <w:rPr>
          <w:i/>
        </w:rPr>
        <w:t>&gt; TODO estudiante: discutí qué tan efectiva resultó la mitigación aplicada y qué limitaciones observaste...</w:t>
      </w:r>
    </w:p>
    <w:p>
      <w:r>
        <w:t>Prestá atención en particular a si mejorar una métrica de equidad empeoró la otra, o si bajó la exactitud: ese trade-off es exactamente lo que la consigna 9.c pide discutir, y es un resultado esperable, no un error del script.</w:t>
      </w:r>
    </w:p>
    <w:p>
      <w:pPr>
        <w:pStyle w:val="Heading2"/>
      </w:pPr>
      <w:r>
        <w:t>5.4 Opcional: comparar las dos técnicas en la misma corrida</w:t>
      </w:r>
    </w:p>
    <w:p>
      <w:r>
        <w:t>Si querés más material para la discusión, corré con MITIGATION_METHOD=ambos en tu .env y volvé a ejecutar python -m src.main: vas a tener una fila para ExponentiatedGradient y otra para ThresholdOptimizer en la misma tabla comparativa.</w:t>
      </w:r>
    </w:p>
    <w:p>
      <w:pPr>
        <w:pStyle w:val="Heading1"/>
      </w:pPr>
      <w:r>
        <w:t>6. Paso a paso: explicar el modelo con SHAP (consigna 10)</w:t>
      </w:r>
    </w:p>
    <w:p>
      <w:r>
        <w:t>Esta parte no requiere ninguna acción adicional de tu parte: cada vez que corrés python -m src.main, el script aplica SHAP sobre el modelo base (antes de la mitigación) y elige automáticamente dos predicciones del conjunto de test: aquella donde el atributo sensible más influyó en la predicción, y aquella donde menos influyó.</w:t>
      </w:r>
    </w:p>
    <w:p>
      <w:pPr>
        <w:pStyle w:val="ListBullet"/>
      </w:pPr>
      <w:r>
        <w:rPr>
          <w:rFonts w:ascii="Consolas" w:hAnsi="Consolas"/>
          <w:b w:val="0"/>
        </w:rPr>
        <w:t>outputs/shap_prediccion_discrimina.png</w:t>
      </w:r>
    </w:p>
    <w:p>
      <w:pPr>
        <w:pStyle w:val="ListBullet"/>
      </w:pPr>
      <w:r>
        <w:rPr>
          <w:rFonts w:ascii="Consolas" w:hAnsi="Consolas"/>
          <w:b w:val="0"/>
        </w:rPr>
        <w:t>outputs/shap_prediccion_no_discrimina.png</w:t>
      </w:r>
    </w:p>
    <w:p>
      <w:pPr>
        <w:pStyle w:val="ListBullet"/>
      </w:pPr>
      <w:r>
        <w:rPr>
          <w:rFonts w:ascii="Consolas" w:hAnsi="Consolas"/>
          <w:b w:val="0"/>
        </w:rPr>
        <w:t>outputs/shap_resumen.png</w:t>
      </w:r>
    </w:p>
    <w:p>
      <w:r>
        <w:t>Vas a encontrar el detalle de ambas predicciones en la sección "Explicabilidad (SHAP) — modelo base" de evidencias.md, incluyendo cuánto pesó el atributo sensible en cada una. Completá el bloque:</w:t>
      </w:r>
    </w:p>
    <w:p>
      <w:r>
        <w:rPr>
          <w:i/>
        </w:rPr>
        <w:t>&gt; TODO estudiante: vinculá esta evidencia con la consigna 4 — ¿SHAP sobre el modelo base hubiera permitido detectar este problema antes del despliegue?</w:t>
      </w:r>
    </w:p>
    <w:p>
      <w:r>
        <w:t>Esta interpretación es la que citás en la consigna 4 de tu documento escrito, como ejemplo concreto de auditoría preventiva.</w:t>
      </w:r>
    </w:p>
    <w:p>
      <w:pPr>
        <w:pStyle w:val="Heading1"/>
      </w:pPr>
      <w:r>
        <w:t>7. Punto opcional: sumar una métrica de equidad propia</w:t>
      </w:r>
    </w:p>
    <w:p>
      <w:r>
        <w:t>El único lugar del código pensado para que edites, y es completamente opcional, está en src/fairness_audit.py, marcado con el comentario # TODO estudiante. Podés sumar ahí una métrica adicional de fairlearn.metrics (por ejemplo equalized_odds_ratio) para enriquecer tu comparación de la consigna 9.c:</w:t>
      </w:r>
    </w:p>
    <w:p>
      <w:pPr>
        <w:spacing w:before="80" w:after="200"/>
        <w:shd w:val="clear" w:fill="F2F2F2"/>
      </w:pPr>
      <w:r>
        <w:rPr>
          <w:rFonts w:ascii="Consolas" w:hAnsi="Consolas"/>
          <w:sz w:val="20"/>
        </w:rPr>
        <w:t>from fairlearn.metrics import equalized_odds_ratio</w:t>
      </w:r>
      <w:r>
        <w:br/>
      </w:r>
      <w:r>
        <w:rPr>
          <w:rFonts w:ascii="Consolas" w:hAnsi="Consolas"/>
          <w:sz w:val="20"/>
        </w:rPr>
        <w:t>METRICAS_EXTRA = {"equalized_odds_ratio": equalized_odds_ratio}</w:t>
      </w:r>
    </w:p>
    <w:p>
      <w:r>
        <w:t>Si no querés tocar código, no hace falta: el resto del pipeline funciona exactamente igual sin este agregado.</w:t>
      </w:r>
    </w:p>
    <w:p>
      <w:pPr>
        <w:pStyle w:val="Heading1"/>
      </w:pPr>
      <w:r>
        <w:t>8. Errores comunes</w:t>
      </w:r>
    </w:p>
    <w:tbl>
      <w:tblPr>
        <w:tblStyle w:val="TableGrid"/>
        <w:tblW w:type="auto" w:w="0"/>
        <w:jc w:val="center"/>
        <w:tblLook w:firstColumn="1" w:firstRow="1" w:lastColumn="0" w:lastRow="0" w:noHBand="0" w:noVBand="1" w:val="04A0"/>
      </w:tblPr>
      <w:tblGrid>
        <w:gridCol w:w="4703"/>
        <w:gridCol w:w="4703"/>
      </w:tblGrid>
      <w:tr>
        <w:tc>
          <w:tcPr>
            <w:tcW w:type="dxa" w:w="4703"/>
            <w:shd w:val="clear" w:fill="1F3B57"/>
          </w:tcPr>
          <w:p>
            <w:r/>
            <w:r>
              <w:rPr>
                <w:b/>
                <w:color w:val="FFFFFF"/>
                <w:sz w:val="21"/>
              </w:rPr>
              <w:t>Mensaje de error</w:t>
            </w:r>
          </w:p>
        </w:tc>
        <w:tc>
          <w:tcPr>
            <w:tcW w:type="dxa" w:w="4703"/>
            <w:shd w:val="clear" w:fill="1F3B57"/>
          </w:tcPr>
          <w:p>
            <w:r/>
            <w:r>
              <w:rPr>
                <w:b/>
                <w:color w:val="FFFFFF"/>
                <w:sz w:val="21"/>
              </w:rPr>
              <w:t>Causa y solución</w:t>
            </w:r>
          </w:p>
        </w:tc>
      </w:tr>
      <w:tr>
        <w:tc>
          <w:tcPr>
            <w:tcW w:type="dxa" w:w="4703"/>
          </w:tcPr>
          <w:p>
            <w:r/>
            <w:r>
              <w:rPr>
                <w:sz w:val="20"/>
              </w:rPr>
              <w:t>No se encontró el archivo '...' (DATASET_PATH)</w:t>
            </w:r>
          </w:p>
        </w:tc>
        <w:tc>
          <w:tcPr>
            <w:tcW w:type="dxa" w:w="4703"/>
          </w:tcPr>
          <w:p>
            <w:r/>
            <w:r>
              <w:rPr>
                <w:sz w:val="20"/>
              </w:rPr>
              <w:t>El CSV no está en la ruta indicada. Verificá que lo copiaste a data/ y que DATASET_PATH en tu .env apunta exactamente a ese archivo.</w:t>
            </w:r>
          </w:p>
        </w:tc>
      </w:tr>
      <w:tr>
        <w:tc>
          <w:tcPr>
            <w:tcW w:type="dxa" w:w="4703"/>
          </w:tcPr>
          <w:p>
            <w:r/>
            <w:r>
              <w:rPr>
                <w:sz w:val="20"/>
              </w:rPr>
              <w:t>No se encontraron en el dataset las columnas [...]</w:t>
            </w:r>
          </w:p>
        </w:tc>
        <w:tc>
          <w:tcPr>
            <w:tcW w:type="dxa" w:w="4703"/>
          </w:tcPr>
          <w:p>
            <w:r/>
            <w:r>
              <w:rPr>
                <w:sz w:val="20"/>
              </w:rPr>
              <w:t>TARGET_COLUMN o SENSITIVE_ATTRIBUTE no coinciden con los nombres reales de columnas de tu CSV. El mensaje lista las columnas disponibles: copiá el nombre exacto desde ahí.</w:t>
            </w:r>
          </w:p>
        </w:tc>
      </w:tr>
      <w:tr>
        <w:tc>
          <w:tcPr>
            <w:tcW w:type="dxa" w:w="4703"/>
          </w:tcPr>
          <w:p>
            <w:r/>
            <w:r>
              <w:rPr>
                <w:sz w:val="20"/>
              </w:rPr>
              <w:t>POSITIVE_LABEL='...' no aparece en la columna '...'</w:t>
            </w:r>
          </w:p>
        </w:tc>
        <w:tc>
          <w:tcPr>
            <w:tcW w:type="dxa" w:w="4703"/>
          </w:tcPr>
          <w:p>
            <w:r/>
            <w:r>
              <w:rPr>
                <w:sz w:val="20"/>
              </w:rPr>
              <w:t>El valor no existe tal cual en tu columna objetivo (revisá mayúsculas, acentos o espacios). El mensaje lista los valores disponibles.</w:t>
            </w:r>
          </w:p>
        </w:tc>
      </w:tr>
      <w:tr>
        <w:tc>
          <w:tcPr>
            <w:tcW w:type="dxa" w:w="4703"/>
          </w:tcPr>
          <w:p>
            <w:r/>
            <w:r>
              <w:rPr>
                <w:sz w:val="20"/>
              </w:rPr>
              <w:t>MITIGATION_METHOD='...' no es válido</w:t>
            </w:r>
          </w:p>
        </w:tc>
        <w:tc>
          <w:tcPr>
            <w:tcW w:type="dxa" w:w="4703"/>
          </w:tcPr>
          <w:p>
            <w:r/>
            <w:r>
              <w:rPr>
                <w:sz w:val="20"/>
              </w:rPr>
              <w:t>Usá exactamente uno de: exponentiated_gradient, threshold_optimizer, ambos.</w:t>
            </w:r>
          </w:p>
        </w:tc>
      </w:tr>
      <w:tr>
        <w:tc>
          <w:tcPr>
            <w:tcW w:type="dxa" w:w="4703"/>
          </w:tcPr>
          <w:p>
            <w:r/>
            <w:r>
              <w:rPr>
                <w:sz w:val="20"/>
              </w:rPr>
              <w:t>FAIRNESS_CONSTRAINT='...' no es válida</w:t>
            </w:r>
          </w:p>
        </w:tc>
        <w:tc>
          <w:tcPr>
            <w:tcW w:type="dxa" w:w="4703"/>
          </w:tcPr>
          <w:p>
            <w:r/>
            <w:r>
              <w:rPr>
                <w:sz w:val="20"/>
              </w:rPr>
              <w:t>Usá exactamente uno de: demographic_parity, equalized_odds.</w:t>
            </w:r>
          </w:p>
        </w:tc>
      </w:tr>
      <w:tr>
        <w:tc>
          <w:tcPr>
            <w:tcW w:type="dxa" w:w="4703"/>
          </w:tcPr>
          <w:p>
            <w:r/>
            <w:r>
              <w:rPr>
                <w:sz w:val="20"/>
              </w:rPr>
              <w:t>El Codespace no instaló nada / falta Python 3.11</w:t>
            </w:r>
          </w:p>
        </w:tc>
        <w:tc>
          <w:tcPr>
            <w:tcW w:type="dxa" w:w="4703"/>
          </w:tcPr>
          <w:p>
            <w:r/>
            <w:r>
              <w:rPr>
                <w:sz w:val="20"/>
              </w:rPr>
              <w:t>Se creó con el atajo de un clic en vez de New with options: borrá el Codespace y recreálo siguiendo el paso 3.2, eligiendo la config unidad2-seminario-cd2.</w:t>
            </w:r>
          </w:p>
        </w:tc>
      </w:tr>
      <w:tr>
        <w:tc>
          <w:tcPr>
            <w:tcW w:type="dxa" w:w="4703"/>
          </w:tcPr>
          <w:p>
            <w:r/>
            <w:r>
              <w:rPr>
                <w:sz w:val="20"/>
              </w:rPr>
              <w:t>La corrida no termina nunca, o la exactitud da sospechosamente alta (&gt; 0.95)</w:t>
            </w:r>
          </w:p>
        </w:tc>
        <w:tc>
          <w:tcPr>
            <w:tcW w:type="dxa" w:w="4703"/>
          </w:tcPr>
          <w:p>
            <w:r/>
            <w:r>
              <w:rPr>
                <w:sz w:val="20"/>
              </w:rPr>
              <w:t>Tu CSV probablemente tiene columnas de texto libre/IDs o columnas que filtran el resultado (data leakage). Ver la sección 4.4 (limpieza rápida / ETL) antes de seguir.</w:t>
            </w:r>
          </w:p>
        </w:tc>
      </w:tr>
    </w:tbl>
    <w:p/>
    <w:p>
      <w:pPr>
        <w:pStyle w:val="Heading1"/>
      </w:pPr>
      <w:r>
        <w:t>9. Cómo cerrar la tarea y actualizar tu repositorio forkeado (consigna 11)</w:t>
      </w:r>
    </w:p>
    <w:p>
      <w:pPr>
        <w:pStyle w:val="Heading2"/>
      </w:pPr>
      <w:r>
        <w:t>9.1 Confirmar que todo esté listo</w:t>
      </w:r>
    </w:p>
    <w:p>
      <w:pPr>
        <w:pStyle w:val="ListBullet"/>
      </w:pPr>
      <w:r>
        <w:t>.env configurado con tu dataset, atributo sensible y método de mitigación elegidos.</w:t>
      </w:r>
    </w:p>
    <w:p>
      <w:pPr>
        <w:pStyle w:val="ListBullet"/>
      </w:pPr>
      <w:r>
        <w:t>evidencias.md generado con python -m src.main sobre tu propio dataset (no el de demostración) y con los tres bloques “&gt; TODO estudiante” completados.</w:t>
      </w:r>
    </w:p>
    <w:p>
      <w:pPr>
        <w:pStyle w:val="ListBullet"/>
      </w:pPr>
      <w:r>
        <w:t>Los PNG de outputs/ correspondientes a esa misma corrida final.</w:t>
      </w:r>
    </w:p>
    <w:p>
      <w:pPr>
        <w:pStyle w:val="ListBullet"/>
      </w:pPr>
      <w:r>
        <w:t>Si sumaste la métrica opcional de la sección 7, que src/fairness_audit.py esté actualizado.</w:t>
      </w:r>
    </w:p>
    <w:p>
      <w:pPr>
        <w:pStyle w:val="ListBullet"/>
      </w:pPr>
      <w:r>
        <w:t>El archivo .env NO debe aparecer en los cambios a subir (está en .gitignore; si accidentalmente aparece listado, no lo agregues al commit).</w:t>
      </w:r>
    </w:p>
    <w:p>
      <w:pPr>
        <w:pStyle w:val="Heading2"/>
      </w:pPr>
      <w:r>
        <w:t>9.2 Subir los cambios a tu fork</w:t>
      </w:r>
    </w:p>
    <w:p>
      <w:r>
        <w:t>Desde la terminal del Codespace (parada en unidad2/):</w:t>
      </w:r>
    </w:p>
    <w:p>
      <w:pPr>
        <w:spacing w:before="80" w:after="200"/>
        <w:shd w:val="clear" w:fill="F2F2F2"/>
      </w:pPr>
      <w:r>
        <w:rPr>
          <w:rFonts w:ascii="Consolas" w:hAnsi="Consolas"/>
          <w:sz w:val="20"/>
        </w:rPr>
        <w:t>git add .</w:t>
      </w:r>
      <w:r>
        <w:br/>
      </w:r>
      <w:r>
        <w:rPr>
          <w:rFonts w:ascii="Consolas" w:hAnsi="Consolas"/>
          <w:sz w:val="20"/>
        </w:rPr>
        <w:t>git commit -m "Entrega Unidad 2: auditoría de equidad, mitigación y SHAP"</w:t>
      </w:r>
      <w:r>
        <w:br/>
      </w:r>
      <w:r>
        <w:rPr>
          <w:rFonts w:ascii="Consolas" w:hAnsi="Consolas"/>
          <w:sz w:val="20"/>
        </w:rPr>
        <w:t>git push</w:t>
      </w:r>
    </w:p>
    <w:p>
      <w:r>
        <w:t>El Codespace ya viene autenticado con tu cuenta de GitHub, así que el push va directo a tu repositorio forkeado sin configuración adicional.</w:t>
      </w:r>
    </w:p>
    <w:p>
      <w:pPr>
        <w:pStyle w:val="Heading2"/>
      </w:pPr>
      <w:r>
        <w:t>9.3 Actualizar tu fork si la cátedra publica cambios en la plantilla</w:t>
      </w:r>
    </w:p>
    <w:p>
      <w:r>
        <w:t>Si la cátedra actualiza el repositorio original después de que ya hiciste tu fork, podés traer esos cambios a tu copia de dos formas:</w:t>
      </w:r>
    </w:p>
    <w:p>
      <w:pPr>
        <w:pStyle w:val="ListNumber"/>
      </w:pPr>
      <w:r>
        <w:t>Desde la interfaz de GitHub (más simple): entrá a tu repositorio forkeado → botón "Sync fork" (arriba, junto al nombre de la rama) → "Update branch". GitHub trae los commits nuevos del repositorio original a tu fork automáticamente.</w:t>
      </w:r>
    </w:p>
    <w:p>
      <w:pPr>
        <w:pStyle w:val="ListNumber"/>
      </w:pPr>
      <w:r>
        <w:t>Desde la terminal del Codespace (si preferís la línea de comandos):</w:t>
      </w:r>
    </w:p>
    <w:p>
      <w:pPr>
        <w:spacing w:before="80" w:after="200"/>
        <w:shd w:val="clear" w:fill="F2F2F2"/>
      </w:pPr>
      <w:r>
        <w:rPr>
          <w:rFonts w:ascii="Consolas" w:hAnsi="Consolas"/>
          <w:sz w:val="20"/>
        </w:rPr>
        <w:t>git remote add upstream https://github.com/epirayucaece/ucaece-sem-cd2-act.git   # solo la primera vez</w:t>
      </w:r>
      <w:r>
        <w:br/>
      </w:r>
      <w:r>
        <w:rPr>
          <w:rFonts w:ascii="Consolas" w:hAnsi="Consolas"/>
          <w:sz w:val="20"/>
        </w:rPr>
        <w:t>git fetch upstream</w:t>
      </w:r>
      <w:r>
        <w:br/>
      </w:r>
      <w:r>
        <w:rPr>
          <w:rFonts w:ascii="Consolas" w:hAnsi="Consolas"/>
          <w:sz w:val="20"/>
        </w:rPr>
        <w:t>git merge upstream/master</w:t>
      </w:r>
      <w:r>
        <w:br/>
      </w:r>
      <w:r>
        <w:rPr>
          <w:rFonts w:ascii="Consolas" w:hAnsi="Consolas"/>
          <w:sz w:val="20"/>
        </w:rPr>
        <w:t>git push</w:t>
      </w:r>
    </w:p>
    <w:p>
      <w:pPr>
        <w:pStyle w:val="Heading2"/>
      </w:pPr>
      <w:r>
        <w:t>9.4 Entregar</w:t>
      </w:r>
    </w:p>
    <w:p>
      <w:pPr>
        <w:pStyle w:val="ListNumber"/>
      </w:pPr>
      <w:r>
        <w:t>Verificá en la página de tu repositorio forkeado en GitHub que los últimos commits (código, evidencias.md y los PNG de outputs/) estén subidos correctamente.</w:t>
      </w:r>
    </w:p>
    <w:p>
      <w:pPr>
        <w:pStyle w:val="ListNumber"/>
      </w:pPr>
      <w:r>
        <w:t>Sacá una captura de pantalla de una ejecución exitosa en la terminal (exactitud del modelo base y de la mitigación).</w:t>
      </w:r>
    </w:p>
    <w:p>
      <w:pPr>
        <w:pStyle w:val="ListNumber"/>
      </w:pPr>
      <w:r>
        <w:t>Armá tu documento entregable (consignas 1 a 6) en Word o PDF, con tipografía Arial 11, interlineado 1,5, alineación justificada y márgenes estándar, entre 3 y 4 páginas sin contar portada ni bibliografía — según las indicaciones generales de la actividad.</w:t>
      </w:r>
    </w:p>
    <w:p>
      <w:pPr>
        <w:pStyle w:val="ListNumber"/>
      </w:pPr>
      <w:r>
        <w:t>Nombrá ese archivo siguiendo el formato de la cátedra: Apellido, inicial del nombre, materia, número de unidad y actividad (ej. PérezM_SemCD2_Un2_Act2).</w:t>
      </w:r>
    </w:p>
    <w:p>
      <w:pPr>
        <w:pStyle w:val="ListNumber"/>
      </w:pPr>
      <w:r>
        <w:t>Incluí en ese documento el enlace a tu repositorio forkeado y la captura de la ejecución exitosa.</w:t>
      </w:r>
    </w:p>
    <w:p>
      <w:pPr>
        <w:pStyle w:val="Heading1"/>
      </w:pPr>
      <w:r>
        <w:t>10. Enlace al repositorio plantilla</w:t>
      </w:r>
    </w:p>
    <w:p>
      <w:r>
        <w:rPr>
          <w:b/>
        </w:rPr>
        <w:t xml:space="preserve">Repositorio plantilla de la cátedra (Unidad 2): </w:t>
      </w:r>
    </w:p>
    <w:p>
      <w:r>
        <w:t>https://github.com/epirayucaece/ucaece-sem-cd2-act</w:t>
      </w:r>
    </w:p>
    <w:p>
      <w:r>
        <w:t>Recordá: no trabajes directamente sobre este repositorio. Hacé tu propio fork (sección 3.1) y trabajá siempre sobre tu copia.</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fldChar w:fldCharType="begin"/>
    </w:r>
    <w:r>
      <w:instrText xml:space="preserve"> PAGE </w:instrText>
    </w:r>
    <w:r>
      <w:fldChar w:fldCharType="end"/>
    </w:r>
    <w:r>
      <w:rPr>
        <w:sz w:val="18"/>
      </w:rPr>
      <w:t xml:space="preserve"> de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Unidad 2 — Guía paso a paso para el estudiante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F3B57"/>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