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Threshold TMS Force Task (V6)</w:t>
      </w:r>
    </w:p>
    <w:p>
      <w:pPr>
        <w:jc w:val="center"/>
      </w:pPr>
      <w:r>
        <w:rPr>
          <w:b/>
          <w:sz w:val="26"/>
        </w:rPr>
        <w:t>Detailed technical report: experiment flow, signal processing, adaptive thresholds, trigger logic, configuration parameters, outputs, and implementation notes</w:t>
      </w:r>
    </w:p>
    <w:p>
      <w:pPr>
        <w:jc w:val="center"/>
      </w:pPr>
      <w:r>
        <w:rPr>
          <w:i/>
        </w:rPr>
        <w:t>Source reviewed: AdaptiveTh_TMS_task_ADPTPD_V6.py (5,135 lines)</w:t>
      </w:r>
    </w:p>
    <w:p>
      <w:pPr>
        <w:jc w:val="center"/>
      </w:pPr>
      <w:r>
        <w:drawing>
          <wp:inline xmlns:a="http://schemas.openxmlformats.org/drawingml/2006/main" xmlns:pic="http://schemas.openxmlformats.org/drawingml/2006/picture">
            <wp:extent cx="6217920" cy="3487869"/>
            <wp:docPr id="1" name="Picture 1"/>
            <wp:cNvGraphicFramePr>
              <a:graphicFrameLocks noChangeAspect="1"/>
            </wp:cNvGraphicFramePr>
            <a:graphic>
              <a:graphicData uri="http://schemas.openxmlformats.org/drawingml/2006/picture">
                <pic:pic>
                  <pic:nvPicPr>
                    <pic:cNvPr id="0" name="01_workflow.png"/>
                    <pic:cNvPicPr/>
                  </pic:nvPicPr>
                  <pic:blipFill>
                    <a:blip r:embed="rId11"/>
                    <a:stretch>
                      <a:fillRect/>
                    </a:stretch>
                  </pic:blipFill>
                  <pic:spPr>
                    <a:xfrm>
                      <a:off x="0" y="0"/>
                      <a:ext cx="6217920" cy="3487869"/>
                    </a:xfrm>
                    <a:prstGeom prst="rect"/>
                  </pic:spPr>
                </pic:pic>
              </a:graphicData>
            </a:graphic>
          </wp:inline>
        </w:drawing>
      </w:r>
    </w:p>
    <w:p>
      <w:pPr>
        <w:pStyle w:val="Heading1"/>
      </w:pPr>
      <w:r>
        <w:t>1. Executive summary</w:t>
      </w:r>
    </w:p>
    <w:p>
      <w:r>
        <w:t>This program implements a single-handle, right-hand force-production task designed to make a real-time stimulation decision from the participant’s force trajectory. The task first calibrates the physical input device to a participant-normalized force scale, optionally provides familiarization, then runs a baseline phase without stimulation. Baseline trials are used to estimate both a participant-specific early-force checking window and checkpoint-specific reference profiles. The main task then compares each new contraction with adaptive references derived from the most recent completed trials. Depending on the operator-selected task version, stimulation can be decided from local rate of force development (RFD), checkpoint force, or the conjunction of both. The direction can be BELOW (identify unusually low early force development) or ABOVE (identify unusually high early force development).</w:t>
      </w:r>
    </w:p>
    <w:p>
      <w:r>
        <w:t>A key architectural feature is that all adaptive measurements are anchored to detected force onset rather than the visual GO cue. This separates the force-development measurement from reaction-time variability. The main acquisition loop samples force nominally at 500 Hz, while display drawing is separately gated to 64 frames/s. A background RFDMonitor thread reads the shared force buffer, detects onset, evaluates elapsed checkpoints, and sends at most one stimulation trigger per trial.</w:t>
      </w:r>
    </w:p>
    <w:p>
      <w:r>
        <w:t>The current executable logic uses a 20-ms local RFD regression window, a 6-ms checkpoint spacing, a 10% relative RFD trigger margin, a 10% force-reference margin, and a baseline-individualized final checkpoint capped at 180 ms after force onset. With the default target of 0.85 MVC and tolerance of ±0.10 MVC, the target region is 0.75–0.95 MVC; in BELOW mode, force-based triggering is additionally suppressed at or above 0.75 MVC.</w:t>
      </w:r>
    </w:p>
    <w:p>
      <w:pPr>
        <w:pStyle w:val="Heading1"/>
      </w:pPr>
      <w:r>
        <w:t>2. System architecture and data flow</w:t>
      </w:r>
    </w:p>
    <w:p>
      <w:r>
        <w:t>The program separates acquisition, display, adaptive monitoring, post-hoc analysis, and export. Pygame handles the joystick and participant display. Force samples are normalized and appended to a thread-safe ForceBuffer. The main thread is the only component that reads the joystick, which avoids concurrent Pygame input access. The RFDMonitor thread only reads snapshots of the recent buffer and performs adaptive calculations. DAQ output is protected by a lock so cue and stimulation trigger writes cannot collide.</w:t>
      </w:r>
    </w:p>
    <w:p>
      <w:r>
        <w:drawing>
          <wp:inline xmlns:a="http://schemas.openxmlformats.org/drawingml/2006/main" xmlns:pic="http://schemas.openxmlformats.org/drawingml/2006/picture">
            <wp:extent cx="6035040" cy="3385285"/>
            <wp:docPr id="2" name="Picture 2"/>
            <wp:cNvGraphicFramePr>
              <a:graphicFrameLocks noChangeAspect="1"/>
            </wp:cNvGraphicFramePr>
            <a:graphic>
              <a:graphicData uri="http://schemas.openxmlformats.org/drawingml/2006/picture">
                <pic:pic>
                  <pic:nvPicPr>
                    <pic:cNvPr id="0" name="01_workflow.png"/>
                    <pic:cNvPicPr/>
                  </pic:nvPicPr>
                  <pic:blipFill>
                    <a:blip r:embed="rId11"/>
                    <a:stretch>
                      <a:fillRect/>
                    </a:stretch>
                  </pic:blipFill>
                  <pic:spPr>
                    <a:xfrm>
                      <a:off x="0" y="0"/>
                      <a:ext cx="6035040" cy="3385285"/>
                    </a:xfrm>
                    <a:prstGeom prst="rect"/>
                  </pic:spPr>
                </pic:pic>
              </a:graphicData>
            </a:graphic>
          </wp:inline>
        </w:drawing>
      </w:r>
    </w:p>
    <w:p>
      <w:pPr>
        <w:pStyle w:val="Heading1"/>
      </w:pPr>
      <w:r>
        <w:t>3. Participant and operator workflow</w:t>
      </w:r>
    </w:p>
    <w:p>
      <w:pPr>
        <w:pStyle w:val="Heading2"/>
      </w:pPr>
      <w:r>
        <w:t>3.1 Startup interface</w:t>
      </w:r>
    </w:p>
    <w:p>
      <w:r>
        <w:t>The startup GUI allows the operator to edit Subject, Session, and Block identifiers; choose RFD_ONLY, FORCE_ONLY, or COMBINED stimulation logic; choose BELOW or ABOVE trigger direction; toggle the red preparatory cue; edit base cue/GO/ITI durations and their jitters; toggle the main-task loadbar; and launch calibration, familiarization, baseline, or the main task. Calibration and baseline are retained when a block finishes and the GUI reopens. Changing Subject or Session invalidates the retained calibration/baseline relationship; changing Block does not.</w:t>
      </w:r>
    </w:p>
    <w:p>
      <w:pPr>
        <w:pStyle w:val="Heading2"/>
      </w:pPr>
      <w:r>
        <w:t>3.2 Force calibration</w:t>
      </w:r>
    </w:p>
    <w:p>
      <w:r>
        <w:t>Calibration first estimates the actual resting raw-axis baseline rather than assuming the device rests at zero. Contraction magnitude is computed as the absolute displacement away from that measured baseline, a raw-unit deadzone is removed, and the remaining deflection is scaled by the measured maximum deflection. This produces a participant-normalized force from 0.0 to 1.0 MVC fraction.</w:t>
      </w:r>
    </w:p>
    <w:p>
      <w:pPr>
        <w:pStyle w:val="Heading2"/>
      </w:pPr>
      <w:r>
        <w:t>3.3 Familiarization</w:t>
      </w:r>
    </w:p>
    <w:p>
      <w:r>
        <w:t>Familiarization uses the task display and force acquisition but does not permit adaptive thresholds or DAQ/TMS triggering. Its data are discarded at the end of the phase.</w:t>
      </w:r>
    </w:p>
    <w:p>
      <w:pPr>
        <w:pStyle w:val="Heading2"/>
      </w:pPr>
      <w:r>
        <w:t>3.4 Baseline calibration</w:t>
      </w:r>
    </w:p>
    <w:p>
      <w:r>
        <w:t>Baseline also runs without stimulation. Each baseline trial is onset-aligned, and the code estimates the time from onset to a sustained near-maximum force plateau. Valid plateau times are averaged, snapped to the checkpoint grid, and capped by MAX_RFD_CHECK_END_S. Baseline also creates the initial checkpoint-by-checkpoint RFD reference and force reference used to seed the main task.</w:t>
      </w:r>
    </w:p>
    <w:p>
      <w:pPr>
        <w:pStyle w:val="Heading2"/>
      </w:pPr>
      <w:r>
        <w:t>3.5 Main task</w:t>
      </w:r>
    </w:p>
    <w:p>
      <w:r>
        <w:t>The main task runs PREP, GO, RECORD_TAIL, ITI, and periodic BREAK states. The adaptive monitor is armed at GO. When force onset is confirmed, it evaluates each elapsed checkpoint in order and can trigger on the first checkpoint that satisfies the selected rule. Force recording continues after the adaptive window for post-hoc analysis, but no new adaptive/TMS decision is allowed in the recording tail.</w:t>
      </w:r>
    </w:p>
    <w:p>
      <w:pPr>
        <w:pStyle w:val="Heading1"/>
      </w:pPr>
      <w:r>
        <w:t>4. Force calibration and normalization</w:t>
      </w:r>
    </w:p>
    <w:p>
      <w:r>
        <w:drawing>
          <wp:inline xmlns:a="http://schemas.openxmlformats.org/drawingml/2006/main" xmlns:pic="http://schemas.openxmlformats.org/drawingml/2006/picture">
            <wp:extent cx="5943600" cy="3434080"/>
            <wp:docPr id="3" name="Picture 3"/>
            <wp:cNvGraphicFramePr>
              <a:graphicFrameLocks noChangeAspect="1"/>
            </wp:cNvGraphicFramePr>
            <a:graphic>
              <a:graphicData uri="http://schemas.openxmlformats.org/drawingml/2006/picture">
                <pic:pic>
                  <pic:nvPicPr>
                    <pic:cNvPr id="0" name="02_calibration_mapping.png"/>
                    <pic:cNvPicPr/>
                  </pic:nvPicPr>
                  <pic:blipFill>
                    <a:blip r:embed="rId12"/>
                    <a:stretch>
                      <a:fillRect/>
                    </a:stretch>
                  </pic:blipFill>
                  <pic:spPr>
                    <a:xfrm>
                      <a:off x="0" y="0"/>
                      <a:ext cx="5943600" cy="3434080"/>
                    </a:xfrm>
                    <a:prstGeom prst="rect"/>
                  </pic:spPr>
                </pic:pic>
              </a:graphicData>
            </a:graphic>
          </wp:inline>
        </w:drawing>
      </w:r>
    </w:p>
    <w:p>
      <w:r>
        <w:t>The raw-to-force mapping is implemented in two stages. First, raw_to_deflection computes |raw − baseline|. If that displacement is less than or equal to DEADZONE_RAW, it becomes zero; otherwise the deadzone is subtracted. Second, deflection_to_force divides the deflection by max_deflection × CALIBRATION_SCALE_FACTOR and clips the result to [0, 1]. Therefore, values above the calibrated maximum do not exceed 1.0 in the stored force signal.</w:t>
      </w:r>
    </w:p>
    <w:p>
      <w:r>
        <w:t>With CALIBRATION_SCALE_FACTOR = 1.00, the measured maximum deflection maps to 1.00. Increasing this factor would make the same measured maximum appear below 1.00, creating headroom. MIN_VALID_CALIBRATION_DEFLECTION is used to reject calibrations in which the participant/device does not produce a meaningful displacement.</w:t>
      </w:r>
    </w:p>
    <w:p>
      <w:pPr>
        <w:pStyle w:val="Heading1"/>
      </w:pPr>
      <w:r>
        <w:t>5. Target display and force feedback</w:t>
      </w:r>
    </w:p>
    <w:p>
      <w:r>
        <w:t>The active target is expressed directly in force units rather than arbitrary screen position. TARGET_FORCE_LEVEL = 0.85 places the center at 85% of calibrated MVC. TARGET_TOLERANCE = 0.10 makes the accepted target region 0.75–0.95 MVC. The force cursor is vertically mapped to the same force scale, so cursor position and target geometry have a physiological interpretation. The right handle is always active in this single-handle version.</w:t>
      </w:r>
    </w:p>
    <w:p>
      <w:pPr>
        <w:pStyle w:val="Heading1"/>
      </w:pPr>
      <w:r>
        <w:t>6. Force-onset detection</w:t>
      </w:r>
    </w:p>
    <w:p>
      <w:r>
        <w:drawing>
          <wp:inline xmlns:a="http://schemas.openxmlformats.org/drawingml/2006/main" xmlns:pic="http://schemas.openxmlformats.org/drawingml/2006/picture">
            <wp:extent cx="5943600" cy="3090672"/>
            <wp:docPr id="4" name="Picture 4"/>
            <wp:cNvGraphicFramePr>
              <a:graphicFrameLocks noChangeAspect="1"/>
            </wp:cNvGraphicFramePr>
            <a:graphic>
              <a:graphicData uri="http://schemas.openxmlformats.org/drawingml/2006/picture">
                <pic:pic>
                  <pic:nvPicPr>
                    <pic:cNvPr id="0" name="03_onset_plateau.png"/>
                    <pic:cNvPicPr/>
                  </pic:nvPicPr>
                  <pic:blipFill>
                    <a:blip r:embed="rId13"/>
                    <a:stretch>
                      <a:fillRect/>
                    </a:stretch>
                  </pic:blipFill>
                  <pic:spPr>
                    <a:xfrm>
                      <a:off x="0" y="0"/>
                      <a:ext cx="5943600" cy="3090672"/>
                    </a:xfrm>
                    <a:prstGeom prst="rect"/>
                  </pic:spPr>
                </pic:pic>
              </a:graphicData>
            </a:graphic>
          </wp:inline>
        </w:drawing>
      </w:r>
    </w:p>
    <w:p>
      <w:r>
        <w:t>All real-time and post-hoc RFD checkpoints are aligned to force onset. The signal is first smoothed using a causal-safe moving average with SLOPE_SMOOTHING_SAMPLES = 3. The onset detector then searches for the first point at which smoothed force reaches RISING_ONSET_FORCE = 0.05 MVC and remains at or above that level for ONSET_CONFIRM_SAMPLES = 5 consecutive samples. At 500 Hz, five samples correspond to approximately 10 ms of confirmation. If no confirmed onset is found within ONSET_SEARCH_WINDOW_S = 0.850 s after GO, the adaptive monitor records the trial as having no detected onset.</w:t>
      </w:r>
    </w:p>
    <w:p>
      <w:r>
        <w:t>The code explicitly guards against setting ONSET_CONFIRM_SAMPLES less than or equal to the smoothing-kernel width. This is important because a single spike can be spread across several samples by smoothing; requiring a longer confirmation sequence reduces the chance that such a spike becomes the anchor for every later metric.</w:t>
      </w:r>
    </w:p>
    <w:p>
      <w:pPr>
        <w:pStyle w:val="Heading1"/>
      </w:pPr>
      <w:r>
        <w:t>7. Baseline-derived individualized RFD checking window</w:t>
      </w:r>
    </w:p>
    <w:p>
      <w:r>
        <w:t>For each baseline trial, the program finds onset, searches the post-onset signal, determines the trial peak, and defines a plateau level as PLATEAU_FRACTION_OF_PEAK × peak force. With the default 0.95, the plateau threshold is 95% of that trial’s peak. The signal must remain at or above this level for PLATEAU_HOLD_S = 0.050 s. The first sample of that sustained run defines the trial’s onset-to-plateau time.</w:t>
      </w:r>
    </w:p>
    <w:p>
      <w:r>
        <w:t>At least max(3, ceil(BASELINE_TRIALS/2)) baseline trials must yield valid plateau estimates. With the default 10 baseline trials, at least 5 valid plateau trials are required. The mean valid plateau time is converted into a checkpoint grid by rounding upward to the 6-ms checkpoint spacing. The main-task grid is then truncated so no checkpoint exceeds MAX_RFD_CHECK_END_S = 0.180 s. Because the grid starts at 20 ms and advances in 6-ms steps, the latest grid point not exceeding 180 ms is 176 ms.</w:t>
      </w:r>
    </w:p>
    <w:p>
      <w:pPr>
        <w:pStyle w:val="Heading1"/>
      </w:pPr>
      <w:r>
        <w:t>8. Real-time local RFD calculation</w:t>
      </w:r>
    </w:p>
    <w:p>
      <w:r>
        <w:drawing>
          <wp:inline xmlns:a="http://schemas.openxmlformats.org/drawingml/2006/main" xmlns:pic="http://schemas.openxmlformats.org/drawingml/2006/picture">
            <wp:extent cx="5943600" cy="3209544"/>
            <wp:docPr id="5" name="Picture 5"/>
            <wp:cNvGraphicFramePr>
              <a:graphicFrameLocks noChangeAspect="1"/>
            </wp:cNvGraphicFramePr>
            <a:graphic>
              <a:graphicData uri="http://schemas.openxmlformats.org/drawingml/2006/picture">
                <pic:pic>
                  <pic:nvPicPr>
                    <pic:cNvPr id="0" name="04_local_rfd.png"/>
                    <pic:cNvPicPr/>
                  </pic:nvPicPr>
                  <pic:blipFill>
                    <a:blip r:embed="rId14"/>
                    <a:stretch>
                      <a:fillRect/>
                    </a:stretch>
                  </pic:blipFill>
                  <pic:spPr>
                    <a:xfrm>
                      <a:off x="0" y="0"/>
                      <a:ext cx="5943600" cy="3209544"/>
                    </a:xfrm>
                    <a:prstGeom prst="rect"/>
                  </pic:spPr>
                </pic:pic>
              </a:graphicData>
            </a:graphic>
          </wp:inline>
        </w:drawing>
      </w:r>
    </w:p>
    <w:p>
      <w:r>
        <w:t>The actual adaptive RFD metric in V6 is a local sliding-window slope. At each onset-relative checkpoint, calculate_epoch_rfd fits a straight line to the most recent LOCAL_RFD_WINDOW_S = 0.020 s of smoothed force ending at that checkpoint. For checkpoints earlier than one full local window, the start of the fit is clamped to onset. A checkpoint is valid only after its end time has elapsed and at least MIN_EPOCH_SAMPLES = 5 samples are available.</w:t>
      </w:r>
    </w:p>
    <w:p>
      <w:r>
        <w:t>RFD is therefore expressed in MVC fractions per second (MVC/s). The use of a local window means RFD is expected to be large during the rapid rising phase and to fall toward zero as the force trajectory plateaus. This is why the program can optionally require a simultaneous force condition: a low local RFD late in the rise does not necessarily mean poor performance if force is already high.</w:t>
      </w:r>
    </w:p>
    <w:p>
      <w:pPr>
        <w:pStyle w:val="Heading1"/>
      </w:pPr>
      <w:r>
        <w:t>9. Adaptive checkpoint references</w:t>
      </w:r>
    </w:p>
    <w:p>
      <w:r>
        <w:drawing>
          <wp:inline xmlns:a="http://schemas.openxmlformats.org/drawingml/2006/main" xmlns:pic="http://schemas.openxmlformats.org/drawingml/2006/picture">
            <wp:extent cx="5943600" cy="3150108"/>
            <wp:docPr id="6" name="Picture 6"/>
            <wp:cNvGraphicFramePr>
              <a:graphicFrameLocks noChangeAspect="1"/>
            </wp:cNvGraphicFramePr>
            <a:graphic>
              <a:graphicData uri="http://schemas.openxmlformats.org/drawingml/2006/picture">
                <pic:pic>
                  <pic:nvPicPr>
                    <pic:cNvPr id="0" name="06_adaptive_history.png"/>
                    <pic:cNvPicPr/>
                  </pic:nvPicPr>
                  <pic:blipFill>
                    <a:blip r:embed="rId15"/>
                    <a:stretch>
                      <a:fillRect/>
                    </a:stretch>
                  </pic:blipFill>
                  <pic:spPr>
                    <a:xfrm>
                      <a:off x="0" y="0"/>
                      <a:ext cx="5943600" cy="3150108"/>
                    </a:xfrm>
                    <a:prstGeom prst="rect"/>
                  </pic:spPr>
                </pic:pic>
              </a:graphicData>
            </a:graphic>
          </wp:inline>
        </w:drawing>
      </w:r>
    </w:p>
    <w:p>
      <w:r>
        <w:t>There is one adaptive RFD reference per checkpoint. calculate_checkpoint_thresholds takes the most recent SLOPE_REFERENCE_TRIALS completed checkpoint profiles and, for each checkpoint independently, calculates their mean only when all required values are finite. The default SLOPE_REFERENCE_TRIALS is 3. The force reference is computed analogously from the previous FORCE_REFERENCE_TRIALS = 3 checkpoint-force profiles.</w:t>
      </w:r>
    </w:p>
    <w:p>
      <w:r>
        <w:t>The main task does not begin with an empty history. Instead, the baseline mean RFD profile is copied three times into the RFD history and the baseline mean force profile is copied three times into the force history. Consequently, Main Task Trial 1 is compared with the baseline mean profile. After Trial 1 completes, the next three-reference average contains two baseline copies plus Trial 1; after Trial 2 it contains one baseline copy plus Trials 1–2; after Trial 3 it is fully based on the three most recent main-task trials. This progressive replacement is the operative V6 behavior and supersedes older comments near the top of the file that describe early trials as having no threshold.</w:t>
      </w:r>
    </w:p>
    <w:p>
      <w:pPr>
        <w:pStyle w:val="Heading1"/>
      </w:pPr>
      <w:r>
        <w:t>10. Trigger margins and decision thresholds</w:t>
      </w:r>
    </w:p>
    <w:p>
      <w:r>
        <w:drawing>
          <wp:inline xmlns:a="http://schemas.openxmlformats.org/drawingml/2006/main" xmlns:pic="http://schemas.openxmlformats.org/drawingml/2006/picture">
            <wp:extent cx="5852160" cy="3081723"/>
            <wp:docPr id="7" name="Picture 7"/>
            <wp:cNvGraphicFramePr>
              <a:graphicFrameLocks noChangeAspect="1"/>
            </wp:cNvGraphicFramePr>
            <a:graphic>
              <a:graphicData uri="http://schemas.openxmlformats.org/drawingml/2006/picture">
                <pic:pic>
                  <pic:nvPicPr>
                    <pic:cNvPr id="0" name="05_rfd_threshold_margin.png"/>
                    <pic:cNvPicPr/>
                  </pic:nvPicPr>
                  <pic:blipFill>
                    <a:blip r:embed="rId16"/>
                    <a:stretch>
                      <a:fillRect/>
                    </a:stretch>
                  </pic:blipFill>
                  <pic:spPr>
                    <a:xfrm>
                      <a:off x="0" y="0"/>
                      <a:ext cx="5852160" cy="3081723"/>
                    </a:xfrm>
                    <a:prstGeom prst="rect"/>
                  </pic:spPr>
                </pic:pic>
              </a:graphicData>
            </a:graphic>
          </wp:inline>
        </w:drawing>
      </w:r>
    </w:p>
    <w:p>
      <w:r>
        <w:t>The adaptive reference itself is not the final trigger boundary. The program applies TRIGGER_MARGIN_FRACTION = 0.10. In BELOW mode, the current local RFD must be strictly less than 90% of the adaptive checkpoint reference. In ABOVE mode, it must be strictly greater than 110% of the reference. This creates a neutral band around the rolling reference and reduces triggering on small fluctuations.</w:t>
      </w:r>
    </w:p>
    <w:p>
      <w:r>
        <w:t>Force uses a separate FORCE_REFERENCE_MARGIN = 0.10. In BELOW mode, checkpoint force must be below 90% of the checkpoint force reference and also below FORCE_TRIGGER_CEILING. With the default target settings, FORCE_TRIGGER_CEILING = TARGET_FORCE_LEVEL − TARGET_TOLERANCE = 0.75 MVC. In ABOVE mode, checkpoint force must exceed 110% of the force reference; the high-force ceiling is not applied.</w:t>
      </w:r>
    </w:p>
    <w:p>
      <w:pPr>
        <w:pStyle w:val="Heading1"/>
      </w:pPr>
      <w:r>
        <w:t>11. Stimulation metric modes</w:t>
      </w:r>
    </w:p>
    <w:p>
      <w:r>
        <w:drawing>
          <wp:inline xmlns:a="http://schemas.openxmlformats.org/drawingml/2006/main" xmlns:pic="http://schemas.openxmlformats.org/drawingml/2006/picture">
            <wp:extent cx="5303520" cy="3306901"/>
            <wp:docPr id="8" name="Picture 8"/>
            <wp:cNvGraphicFramePr>
              <a:graphicFrameLocks noChangeAspect="1"/>
            </wp:cNvGraphicFramePr>
            <a:graphic>
              <a:graphicData uri="http://schemas.openxmlformats.org/drawingml/2006/picture">
                <pic:pic>
                  <pic:nvPicPr>
                    <pic:cNvPr id="0" name="07_combined_gate.png"/>
                    <pic:cNvPicPr/>
                  </pic:nvPicPr>
                  <pic:blipFill>
                    <a:blip r:embed="rId17"/>
                    <a:stretch>
                      <a:fillRect/>
                    </a:stretch>
                  </pic:blipFill>
                  <pic:spPr>
                    <a:xfrm>
                      <a:off x="0" y="0"/>
                      <a:ext cx="5303520" cy="3306901"/>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Mode</w:t>
            </w:r>
          </w:p>
        </w:tc>
        <w:tc>
          <w:tcPr>
            <w:tcW w:type="dxa" w:w="2520"/>
          </w:tcPr>
          <w:p>
            <w:r>
              <w:rPr>
                <w:sz w:val="17"/>
              </w:rPr>
              <w:t>RFD gate</w:t>
            </w:r>
          </w:p>
        </w:tc>
        <w:tc>
          <w:tcPr>
            <w:tcW w:type="dxa" w:w="2520"/>
          </w:tcPr>
          <w:p>
            <w:r>
              <w:rPr>
                <w:sz w:val="17"/>
              </w:rPr>
              <w:t>Force gate</w:t>
            </w:r>
          </w:p>
        </w:tc>
        <w:tc>
          <w:tcPr>
            <w:tcW w:type="dxa" w:w="2520"/>
          </w:tcPr>
          <w:p>
            <w:r>
              <w:rPr>
                <w:sz w:val="17"/>
              </w:rPr>
              <w:t>Trigger condition</w:t>
            </w:r>
          </w:p>
        </w:tc>
      </w:tr>
      <w:tr>
        <w:tc>
          <w:tcPr>
            <w:tcW w:type="dxa" w:w="2520"/>
          </w:tcPr>
          <w:p>
            <w:r>
              <w:rPr>
                <w:sz w:val="17"/>
              </w:rPr>
              <w:t>RFD_ONLY</w:t>
            </w:r>
          </w:p>
        </w:tc>
        <w:tc>
          <w:tcPr>
            <w:tcW w:type="dxa" w:w="2520"/>
          </w:tcPr>
          <w:p>
            <w:r>
              <w:rPr>
                <w:sz w:val="17"/>
              </w:rPr>
              <w:t>Used</w:t>
            </w:r>
          </w:p>
        </w:tc>
        <w:tc>
          <w:tcPr>
            <w:tcW w:type="dxa" w:w="2520"/>
          </w:tcPr>
          <w:p>
            <w:r>
              <w:rPr>
                <w:sz w:val="17"/>
              </w:rPr>
              <w:t>Ignored</w:t>
            </w:r>
          </w:p>
        </w:tc>
        <w:tc>
          <w:tcPr>
            <w:tcW w:type="dxa" w:w="2520"/>
          </w:tcPr>
          <w:p>
            <w:r>
              <w:rPr>
                <w:sz w:val="17"/>
              </w:rPr>
              <w:t>RFD condition alone</w:t>
            </w:r>
          </w:p>
        </w:tc>
      </w:tr>
      <w:tr>
        <w:tc>
          <w:tcPr>
            <w:tcW w:type="dxa" w:w="2520"/>
          </w:tcPr>
          <w:p>
            <w:r>
              <w:rPr>
                <w:sz w:val="17"/>
              </w:rPr>
              <w:t>FORCE_ONLY</w:t>
            </w:r>
          </w:p>
        </w:tc>
        <w:tc>
          <w:tcPr>
            <w:tcW w:type="dxa" w:w="2520"/>
          </w:tcPr>
          <w:p>
            <w:r>
              <w:rPr>
                <w:sz w:val="17"/>
              </w:rPr>
              <w:t>Ignored</w:t>
            </w:r>
          </w:p>
        </w:tc>
        <w:tc>
          <w:tcPr>
            <w:tcW w:type="dxa" w:w="2520"/>
          </w:tcPr>
          <w:p>
            <w:r>
              <w:rPr>
                <w:sz w:val="17"/>
              </w:rPr>
              <w:t>Used</w:t>
            </w:r>
          </w:p>
        </w:tc>
        <w:tc>
          <w:tcPr>
            <w:tcW w:type="dxa" w:w="2520"/>
          </w:tcPr>
          <w:p>
            <w:r>
              <w:rPr>
                <w:sz w:val="17"/>
              </w:rPr>
              <w:t>Force condition alone</w:t>
            </w:r>
          </w:p>
        </w:tc>
      </w:tr>
      <w:tr>
        <w:tc>
          <w:tcPr>
            <w:tcW w:type="dxa" w:w="2520"/>
          </w:tcPr>
          <w:p>
            <w:r>
              <w:rPr>
                <w:sz w:val="17"/>
              </w:rPr>
              <w:t>COMBINED</w:t>
            </w:r>
          </w:p>
        </w:tc>
        <w:tc>
          <w:tcPr>
            <w:tcW w:type="dxa" w:w="2520"/>
          </w:tcPr>
          <w:p>
            <w:r>
              <w:rPr>
                <w:sz w:val="17"/>
              </w:rPr>
              <w:t>Used</w:t>
            </w:r>
          </w:p>
        </w:tc>
        <w:tc>
          <w:tcPr>
            <w:tcW w:type="dxa" w:w="2520"/>
          </w:tcPr>
          <w:p>
            <w:r>
              <w:rPr>
                <w:sz w:val="17"/>
              </w:rPr>
              <w:t>Used</w:t>
            </w:r>
          </w:p>
        </w:tc>
        <w:tc>
          <w:tcPr>
            <w:tcW w:type="dxa" w:w="2520"/>
          </w:tcPr>
          <w:p>
            <w:r>
              <w:rPr>
                <w:sz w:val="17"/>
              </w:rPr>
              <w:t>RFD AND force must both pass</w:t>
            </w:r>
          </w:p>
        </w:tc>
      </w:tr>
    </w:tbl>
    <w:p>
      <w:r>
        <w:t>The monitor checks checkpoints in chronological order and stops at the first checkpoint that satisfies the selected metric rule. Thus there is at most one adaptive stimulation trigger per trial. If no checkpoint satisfies the rule by the individualized RFD_CHECK_END_S, the monitor finishes with a no-criterion decision reason.</w:t>
      </w:r>
    </w:p>
    <w:p>
      <w:pPr>
        <w:pStyle w:val="Heading1"/>
      </w:pPr>
      <w:r>
        <w:t>12. Trial state machine and timing</w:t>
      </w:r>
    </w:p>
    <w:p>
      <w:r>
        <w:t>PREP lasts PREP_DURATION_S plus uniform random jitter from 0 to PREP_JITTER_S. If USE_RED_CUE is true, the red target is shown; otherwise this interval is visually silent. A cue DAQ trigger is sent CUE_TRIGGER_LEAD_S before the PREP interval ends. GO begins when the green target appears. The visible green duration is GO_DURATION_S plus uniform jitter from 0 to GO_JITTER_S.</w:t>
      </w:r>
    </w:p>
    <w:p>
      <w:r>
        <w:t>The adaptive monitor may remain armed longer than the visible GO cue. main_go_duration_s is max(GO_DURATION_S, ONSET_SEARCH_WINDOW_S + RFD_CHECK_END_S + 0.02). This ensures that a late but still valid onset has time to reach the last adaptive checkpoint. After the adaptive period, RECORD_TAIL continues sampling until POST_GO_RECORDING_END_S after GO. ITI is drawn uniformly from ITI_MIN_S to ITI_MIN_S + ITI_JITTER_S.</w:t>
      </w:r>
    </w:p>
    <w:p>
      <w:r>
        <w:t>Breaks are non-blocking. If the elapsed time since the previous break reaches BREAK_INTERVAL while the state is PREP or ITI, the program enters BREAK for BREAK_DURATION seconds. Sampling/event handling continues rather than freezing the application.</w:t>
      </w:r>
    </w:p>
    <w:p>
      <w:pPr>
        <w:pStyle w:val="Heading1"/>
      </w:pPr>
      <w:r>
        <w:t>13. DAQ trigger behavior</w:t>
      </w:r>
    </w:p>
    <w:p>
      <w:r>
        <w:t>The code defines separate analog-output channels for the cue trigger and adaptive RFD trigger. send_trigger is serialized with _daq_lock, preventing simultaneous writes from the main thread and monitor thread. nidaqmx is optional: if it cannot be imported, the program continues in a simulation/debug mode and reports that triggers will be simulated. This makes the task testable without attached DAQ hardware.</w:t>
      </w:r>
    </w:p>
    <w:p>
      <w:pPr>
        <w:pStyle w:val="Heading1"/>
      </w:pPr>
      <w:r>
        <w:t>14. Post-hoc metrics</w:t>
      </w:r>
    </w:p>
    <w:p>
      <w:r>
        <w:t>After each trial, calculate_trial_metrics derives onset-aligned RFD, reaction time, peak and time-to-peak measures, force values at predefined onset-relative time points, checkpoint RFDs, checkpoint forces, live-versus-post-hoc consistency fields, trigger timing, and target-accuracy metrics. The diagnostic running-slope trace is retained for visualization but is not used for the stimulation decision.</w:t>
      </w:r>
    </w:p>
    <w:p>
      <w:r>
        <w:t>RFD_EPOCH_S = 0.08 identifies the primary 80-ms checkpoint reported in summaries. RFD_EPOCHS_S additionally requests 50, 100, 150, 200, and 300 ms post-hoc epochs. PEAK_RFD_WINDOW_S = 0.04 controls the short moving window used to estimate peak instantaneous RFD. FORCE_TIMEPOINTS_FROM_ONSET_S records force at 50, 100, 150, 200, 300, and 400 ms after onset.</w:t>
      </w:r>
    </w:p>
    <w:p>
      <w:pPr>
        <w:pStyle w:val="Heading1"/>
      </w:pPr>
      <w:r>
        <w:t>15. Output files and figures</w:t>
      </w:r>
    </w:p>
    <w:p>
      <w:r>
        <w:t>Outputs are written under OUTPUT_ROOT / Subject / Session / Block / TaskVersion. The default root is the user Desktop/ADAPT_BK; if that location is not writable, the program falls back to Documents/ADAPT_BK_Exp2. The task-version folder combines the selected metric mode and direction, for example COMBINED_BELOW.</w:t>
      </w:r>
    </w:p>
    <w:p>
      <w:r>
        <w:t>The Excel workbook can contain Trial_Summary, Trial_TimeSeries, Calibration, Baseline_Thresholds, Baseline_Plateau, and Raw_Data sheets. A MATLAB .mat file stores raw force, calibration values, baseline profiles, task settings, trial-level columns, and selected time-series columns. The plotting subsystem generates raw/session force plots, trial RFD summaries, onset-aligned force overlays, individual-trial diagnostic figures, and multiple session-level RFD/force summary visualizations.</w:t>
      </w:r>
    </w:p>
    <w:p>
      <w:pPr>
        <w:pStyle w:val="Heading1"/>
      </w:pPr>
      <w:r>
        <w:t>16. Configuration safeguards</w:t>
      </w:r>
    </w:p>
    <w:p>
      <w:pPr>
        <w:pStyle w:val="ListBullet"/>
      </w:pPr>
      <w:r>
        <w:t>ONSET_CONFIRM_SAMPLES must be greater than SLOPE_SMOOTHING_SAMPLES.</w:t>
      </w:r>
    </w:p>
    <w:p>
      <w:pPr>
        <w:pStyle w:val="ListBullet"/>
      </w:pPr>
      <w:r>
        <w:t>RFD_EPOCH_S must exactly match one member of RFD_CHECKPOINTS_S.</w:t>
      </w:r>
    </w:p>
    <w:p>
      <w:pPr>
        <w:pStyle w:val="ListBullet"/>
      </w:pPr>
      <w:r>
        <w:t>POST_ONSET_WINDOW_S must be at least as long as RFD_CHECK_END_S.</w:t>
      </w:r>
    </w:p>
    <w:p>
      <w:pPr>
        <w:pStyle w:val="ListBullet"/>
      </w:pPr>
      <w:r>
        <w:t>RFD_CHECK_START_S must be long enough to contain MIN_EPOCH_SAMPLES at the configured sampling rate.</w:t>
      </w:r>
    </w:p>
    <w:p>
      <w:pPr>
        <w:pStyle w:val="ListBullet"/>
      </w:pPr>
      <w:r>
        <w:t>validate_and_fix_timing raises too-short GO duration to ONSET_SEARCH_WINDOW_S + RFD_CHECK_END_S when needed.</w:t>
      </w:r>
    </w:p>
    <w:p>
      <w:pPr>
        <w:pStyle w:val="ListBullet"/>
      </w:pPr>
      <w:r>
        <w:t>POST_GO_RECORDING_END_S is raised if it would end before the longest visible GO duration.</w:t>
      </w:r>
    </w:p>
    <w:p>
      <w:pPr>
        <w:pStyle w:val="ListBullet"/>
      </w:pPr>
      <w:r>
        <w:t>Negative PREP, ITI, or jitter values are clamped to zero by the timing validator/startup editor.</w:t>
      </w:r>
    </w:p>
    <w:p>
      <w:pPr>
        <w:pStyle w:val="Heading1"/>
      </w:pPr>
      <w:r>
        <w:t>17. Important implementation notes and internal inconsistencies</w:t>
      </w:r>
    </w:p>
    <w:p>
      <w:r>
        <w:t>Several comments/docstrings appear to describe older versions and should not be treated as the executable specification. The report therefore prioritizes the actual V6 code paths.</w:t>
      </w:r>
    </w:p>
    <w:p>
      <w:pPr>
        <w:pStyle w:val="Heading3"/>
      </w:pPr>
      <w:r>
        <w:t>Baseline seeding vs. “no threshold” header comment</w:t>
      </w:r>
    </w:p>
    <w:p>
      <w:r>
        <w:t>The file header says Trial 1 and Trial 2 have no threshold, but main() explicitly seeds the main-task RFD and force histories with repeated baseline mean profiles. Therefore Main Task Trial 1 already has a valid baseline-derived reference when baseline calibration succeeded.</w:t>
      </w:r>
    </w:p>
    <w:p>
      <w:pPr>
        <w:pStyle w:val="Heading3"/>
      </w:pPr>
      <w:r>
        <w:t>Reference count examples</w:t>
      </w:r>
    </w:p>
    <w:p>
      <w:r>
        <w:t>Some older text examples describe a two-trial rolling mean, while SLOPE_REFERENCE_TRIALS and FORCE_REFERENCE_TRIALS are both 3 in V6. The executable functions use the configured value 3.</w:t>
      </w:r>
    </w:p>
    <w:p>
      <w:pPr>
        <w:pStyle w:val="Heading3"/>
      </w:pPr>
      <w:r>
        <w:t>RFD window wording</w:t>
      </w:r>
    </w:p>
    <w:p>
      <w:r>
        <w:t>LOCAL_RFD_WINDOW_S is 0.020 s (20 ms), but some docstrings/comments still mention a 50-ms local window. calculate_epoch_rfd uses its default window_s=LOCAL_RFD_WINDOW_S, so the actual adaptive window is 20 ms.</w:t>
      </w:r>
    </w:p>
    <w:p>
      <w:pPr>
        <w:pStyle w:val="Heading3"/>
      </w:pPr>
      <w:r>
        <w:t>Checkpoint start wording</w:t>
      </w:r>
    </w:p>
    <w:p>
      <w:r>
        <w:t>Comments in a few places refer to starting at 60 ms, but RFD_CHECK_START_S is 0.020 s and the generated grid starts at 20 ms. The 80-ms primary checkpoint is on the 6-ms grid because 20 + 10×6 = 80 ms.</w:t>
      </w:r>
    </w:p>
    <w:p>
      <w:pPr>
        <w:pStyle w:val="Heading3"/>
      </w:pPr>
      <w:r>
        <w:t>Individualization wording</w:t>
      </w:r>
    </w:p>
    <w:p>
      <w:r>
        <w:t>make_rfd_checkpoints rounds the requested endpoint upward to the grid, but baseline processing then removes checkpoints above the hard 180-ms cap. The final main-task endpoint is therefore the last retained grid point, at most 176 ms with current grid settings.</w:t>
      </w:r>
    </w:p>
    <w:p>
      <w:pPr>
        <w:pStyle w:val="Heading1"/>
      </w:pPr>
      <w:r>
        <w:t>18. Parameter reference</w:t>
      </w:r>
    </w:p>
    <w:p>
      <w:r>
        <w:t>The following tables cover the top-level configuration constants that control participant/session identity, hardware, calibration, adaptive logic, timing, display, plotting, DAQ, breaks, and output. Derived/internal objects such as locks and caches are discussed separately.</w:t>
      </w:r>
    </w:p>
    <w:p>
      <w:pPr>
        <w:pStyle w:val="Heading2"/>
      </w:pPr>
      <w:r>
        <w:t>Identity and hardware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X_NUMBER</w:t>
            </w:r>
          </w:p>
        </w:tc>
        <w:tc>
          <w:tcPr>
            <w:tcW w:type="dxa" w:w="2520"/>
            <w:vAlign w:val="top"/>
          </w:tcPr>
          <w:p>
            <w:r>
              <w:rPr>
                <w:sz w:val="17"/>
              </w:rPr>
              <w:t>"X00000"</w:t>
            </w:r>
          </w:p>
        </w:tc>
        <w:tc>
          <w:tcPr>
            <w:tcW w:type="dxa" w:w="2520"/>
            <w:vAlign w:val="top"/>
          </w:tcPr>
          <w:p>
            <w:r>
              <w:rPr>
                <w:sz w:val="17"/>
              </w:rPr>
              <w:t>Default participant identifier; editable in startup GUI.</w:t>
            </w:r>
          </w:p>
        </w:tc>
        <w:tc>
          <w:tcPr>
            <w:tcW w:type="dxa" w:w="2520"/>
            <w:vAlign w:val="top"/>
          </w:tcPr>
          <w:p>
            <w:r>
              <w:rPr>
                <w:sz w:val="17"/>
              </w:rPr>
              <w:t>96</w:t>
            </w:r>
          </w:p>
        </w:tc>
      </w:tr>
      <w:tr>
        <w:tc>
          <w:tcPr>
            <w:tcW w:type="dxa" w:w="2520"/>
            <w:vAlign w:val="top"/>
          </w:tcPr>
          <w:p>
            <w:r>
              <w:rPr>
                <w:sz w:val="17"/>
              </w:rPr>
              <w:t>SESSION</w:t>
            </w:r>
          </w:p>
        </w:tc>
        <w:tc>
          <w:tcPr>
            <w:tcW w:type="dxa" w:w="2520"/>
            <w:vAlign w:val="top"/>
          </w:tcPr>
          <w:p>
            <w:r>
              <w:rPr>
                <w:sz w:val="17"/>
              </w:rPr>
              <w:t>"Session_1"</w:t>
            </w:r>
          </w:p>
        </w:tc>
        <w:tc>
          <w:tcPr>
            <w:tcW w:type="dxa" w:w="2520"/>
            <w:vAlign w:val="top"/>
          </w:tcPr>
          <w:p>
            <w:r>
              <w:rPr>
                <w:sz w:val="17"/>
              </w:rPr>
              <w:t>Default session identifier; editable in startup GUI.</w:t>
            </w:r>
          </w:p>
        </w:tc>
        <w:tc>
          <w:tcPr>
            <w:tcW w:type="dxa" w:w="2520"/>
            <w:vAlign w:val="top"/>
          </w:tcPr>
          <w:p>
            <w:r>
              <w:rPr>
                <w:sz w:val="17"/>
              </w:rPr>
              <w:t>97</w:t>
            </w:r>
          </w:p>
        </w:tc>
      </w:tr>
      <w:tr>
        <w:tc>
          <w:tcPr>
            <w:tcW w:type="dxa" w:w="2520"/>
            <w:vAlign w:val="top"/>
          </w:tcPr>
          <w:p>
            <w:r>
              <w:rPr>
                <w:sz w:val="17"/>
              </w:rPr>
              <w:t>BLOCK</w:t>
            </w:r>
          </w:p>
        </w:tc>
        <w:tc>
          <w:tcPr>
            <w:tcW w:type="dxa" w:w="2520"/>
            <w:vAlign w:val="top"/>
          </w:tcPr>
          <w:p>
            <w:r>
              <w:rPr>
                <w:sz w:val="17"/>
              </w:rPr>
              <w:t>"Block_1"</w:t>
            </w:r>
          </w:p>
        </w:tc>
        <w:tc>
          <w:tcPr>
            <w:tcW w:type="dxa" w:w="2520"/>
            <w:vAlign w:val="top"/>
          </w:tcPr>
          <w:p>
            <w:r>
              <w:rPr>
                <w:sz w:val="17"/>
              </w:rPr>
              <w:t>Default block identifier; editable in startup GUI.</w:t>
            </w:r>
          </w:p>
        </w:tc>
        <w:tc>
          <w:tcPr>
            <w:tcW w:type="dxa" w:w="2520"/>
            <w:vAlign w:val="top"/>
          </w:tcPr>
          <w:p>
            <w:r>
              <w:rPr>
                <w:sz w:val="17"/>
              </w:rPr>
              <w:t>98</w:t>
            </w:r>
          </w:p>
        </w:tc>
      </w:tr>
      <w:tr>
        <w:tc>
          <w:tcPr>
            <w:tcW w:type="dxa" w:w="2520"/>
            <w:vAlign w:val="top"/>
          </w:tcPr>
          <w:p>
            <w:r>
              <w:rPr>
                <w:sz w:val="17"/>
              </w:rPr>
              <w:t>RIGHT_AXIS</w:t>
            </w:r>
          </w:p>
        </w:tc>
        <w:tc>
          <w:tcPr>
            <w:tcW w:type="dxa" w:w="2520"/>
            <w:vAlign w:val="top"/>
          </w:tcPr>
          <w:p>
            <w:r>
              <w:rPr>
                <w:sz w:val="17"/>
              </w:rPr>
              <w:t>0</w:t>
            </w:r>
          </w:p>
        </w:tc>
        <w:tc>
          <w:tcPr>
            <w:tcW w:type="dxa" w:w="2520"/>
            <w:vAlign w:val="top"/>
          </w:tcPr>
          <w:p>
            <w:r>
              <w:rPr>
                <w:sz w:val="17"/>
              </w:rPr>
              <w:t>Pygame joystick axis index used for the right-hand transducer.</w:t>
            </w:r>
          </w:p>
        </w:tc>
        <w:tc>
          <w:tcPr>
            <w:tcW w:type="dxa" w:w="2520"/>
            <w:vAlign w:val="top"/>
          </w:tcPr>
          <w:p>
            <w:r>
              <w:rPr>
                <w:sz w:val="17"/>
              </w:rPr>
              <w:t>106</w:t>
            </w:r>
          </w:p>
        </w:tc>
      </w:tr>
      <w:tr>
        <w:tc>
          <w:tcPr>
            <w:tcW w:type="dxa" w:w="2520"/>
            <w:vAlign w:val="top"/>
          </w:tcPr>
          <w:p>
            <w:r>
              <w:rPr>
                <w:sz w:val="17"/>
              </w:rPr>
              <w:t>ALLOW_SINGLE_SCREEN</w:t>
            </w:r>
          </w:p>
        </w:tc>
        <w:tc>
          <w:tcPr>
            <w:tcW w:type="dxa" w:w="2520"/>
            <w:vAlign w:val="top"/>
          </w:tcPr>
          <w:p>
            <w:r>
              <w:rPr>
                <w:sz w:val="17"/>
              </w:rPr>
              <w:t>True</w:t>
            </w:r>
          </w:p>
        </w:tc>
        <w:tc>
          <w:tcPr>
            <w:tcW w:type="dxa" w:w="2520"/>
            <w:vAlign w:val="top"/>
          </w:tcPr>
          <w:p>
            <w:r>
              <w:rPr>
                <w:sz w:val="17"/>
              </w:rPr>
              <w:t>Allows debug operation on the primary monitor when a second display is absent.</w:t>
            </w:r>
          </w:p>
        </w:tc>
        <w:tc>
          <w:tcPr>
            <w:tcW w:type="dxa" w:w="2520"/>
            <w:vAlign w:val="top"/>
          </w:tcPr>
          <w:p>
            <w:r>
              <w:rPr>
                <w:sz w:val="17"/>
              </w:rPr>
              <w:t>109</w:t>
            </w:r>
          </w:p>
        </w:tc>
      </w:tr>
    </w:tbl>
    <w:p>
      <w:pPr>
        <w:pStyle w:val="Heading2"/>
      </w:pPr>
      <w:r>
        <w:t>Calibration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CALIBRATION_DURATION_S</w:t>
            </w:r>
          </w:p>
        </w:tc>
        <w:tc>
          <w:tcPr>
            <w:tcW w:type="dxa" w:w="2520"/>
            <w:vAlign w:val="top"/>
          </w:tcPr>
          <w:p>
            <w:r>
              <w:rPr>
                <w:sz w:val="17"/>
              </w:rPr>
              <w:t>2.0</w:t>
            </w:r>
          </w:p>
        </w:tc>
        <w:tc>
          <w:tcPr>
            <w:tcW w:type="dxa" w:w="2520"/>
            <w:vAlign w:val="top"/>
          </w:tcPr>
          <w:p>
            <w:r>
              <w:rPr>
                <w:sz w:val="17"/>
              </w:rPr>
              <w:t>Duration of maximum-contraction sampling during calibration.</w:t>
            </w:r>
          </w:p>
        </w:tc>
        <w:tc>
          <w:tcPr>
            <w:tcW w:type="dxa" w:w="2520"/>
            <w:vAlign w:val="top"/>
          </w:tcPr>
          <w:p>
            <w:r>
              <w:rPr>
                <w:sz w:val="17"/>
              </w:rPr>
              <w:t>116</w:t>
            </w:r>
          </w:p>
        </w:tc>
      </w:tr>
      <w:tr>
        <w:tc>
          <w:tcPr>
            <w:tcW w:type="dxa" w:w="2520"/>
            <w:vAlign w:val="top"/>
          </w:tcPr>
          <w:p>
            <w:r>
              <w:rPr>
                <w:sz w:val="17"/>
              </w:rPr>
              <w:t>CALIBRATION_REST_DURATION_S</w:t>
            </w:r>
          </w:p>
        </w:tc>
        <w:tc>
          <w:tcPr>
            <w:tcW w:type="dxa" w:w="2520"/>
            <w:vAlign w:val="top"/>
          </w:tcPr>
          <w:p>
            <w:r>
              <w:rPr>
                <w:sz w:val="17"/>
              </w:rPr>
              <w:t>5.0</w:t>
            </w:r>
          </w:p>
        </w:tc>
        <w:tc>
          <w:tcPr>
            <w:tcW w:type="dxa" w:w="2520"/>
            <w:vAlign w:val="top"/>
          </w:tcPr>
          <w:p>
            <w:r>
              <w:rPr>
                <w:sz w:val="17"/>
              </w:rPr>
              <w:t>Duration used to measure resting raw-axis baseline.</w:t>
            </w:r>
          </w:p>
        </w:tc>
        <w:tc>
          <w:tcPr>
            <w:tcW w:type="dxa" w:w="2520"/>
            <w:vAlign w:val="top"/>
          </w:tcPr>
          <w:p>
            <w:r>
              <w:rPr>
                <w:sz w:val="17"/>
              </w:rPr>
              <w:t>117</w:t>
            </w:r>
          </w:p>
        </w:tc>
      </w:tr>
      <w:tr>
        <w:tc>
          <w:tcPr>
            <w:tcW w:type="dxa" w:w="2520"/>
            <w:vAlign w:val="top"/>
          </w:tcPr>
          <w:p>
            <w:r>
              <w:rPr>
                <w:sz w:val="17"/>
              </w:rPr>
              <w:t>CALIBRATION_SCALE_FACTOR</w:t>
            </w:r>
          </w:p>
        </w:tc>
        <w:tc>
          <w:tcPr>
            <w:tcW w:type="dxa" w:w="2520"/>
            <w:vAlign w:val="top"/>
          </w:tcPr>
          <w:p>
            <w:r>
              <w:rPr>
                <w:sz w:val="17"/>
              </w:rPr>
              <w:t>1.00</w:t>
            </w:r>
          </w:p>
        </w:tc>
        <w:tc>
          <w:tcPr>
            <w:tcW w:type="dxa" w:w="2520"/>
            <w:vAlign w:val="top"/>
          </w:tcPr>
          <w:p>
            <w:r>
              <w:rPr>
                <w:sz w:val="17"/>
              </w:rPr>
              <w:t>Multiplier applied to measured max deflection before normalization; &gt;1 creates display headroom.</w:t>
            </w:r>
          </w:p>
        </w:tc>
        <w:tc>
          <w:tcPr>
            <w:tcW w:type="dxa" w:w="2520"/>
            <w:vAlign w:val="top"/>
          </w:tcPr>
          <w:p>
            <w:r>
              <w:rPr>
                <w:sz w:val="17"/>
              </w:rPr>
              <w:t>122</w:t>
            </w:r>
          </w:p>
        </w:tc>
      </w:tr>
      <w:tr>
        <w:tc>
          <w:tcPr>
            <w:tcW w:type="dxa" w:w="2520"/>
            <w:vAlign w:val="top"/>
          </w:tcPr>
          <w:p>
            <w:r>
              <w:rPr>
                <w:sz w:val="17"/>
              </w:rPr>
              <w:t>DEADZONE_RAW</w:t>
            </w:r>
          </w:p>
        </w:tc>
        <w:tc>
          <w:tcPr>
            <w:tcW w:type="dxa" w:w="2520"/>
            <w:vAlign w:val="top"/>
          </w:tcPr>
          <w:p>
            <w:r>
              <w:rPr>
                <w:sz w:val="17"/>
              </w:rPr>
              <w:t>0.02</w:t>
            </w:r>
          </w:p>
        </w:tc>
        <w:tc>
          <w:tcPr>
            <w:tcW w:type="dxa" w:w="2520"/>
            <w:vAlign w:val="top"/>
          </w:tcPr>
          <w:p>
            <w:r>
              <w:rPr>
                <w:sz w:val="17"/>
              </w:rPr>
              <w:t>Raw-axis displacement around baseline treated as zero force.</w:t>
            </w:r>
          </w:p>
        </w:tc>
        <w:tc>
          <w:tcPr>
            <w:tcW w:type="dxa" w:w="2520"/>
            <w:vAlign w:val="top"/>
          </w:tcPr>
          <w:p>
            <w:r>
              <w:rPr>
                <w:sz w:val="17"/>
              </w:rPr>
              <w:t>126</w:t>
            </w:r>
          </w:p>
        </w:tc>
      </w:tr>
      <w:tr>
        <w:tc>
          <w:tcPr>
            <w:tcW w:type="dxa" w:w="2520"/>
            <w:vAlign w:val="top"/>
          </w:tcPr>
          <w:p>
            <w:r>
              <w:rPr>
                <w:sz w:val="17"/>
              </w:rPr>
              <w:t>MIN_VALID_CALIBRATION_DEFLECTION</w:t>
            </w:r>
          </w:p>
        </w:tc>
        <w:tc>
          <w:tcPr>
            <w:tcW w:type="dxa" w:w="2520"/>
            <w:vAlign w:val="top"/>
          </w:tcPr>
          <w:p>
            <w:r>
              <w:rPr>
                <w:sz w:val="17"/>
              </w:rPr>
              <w:t>0.01</w:t>
            </w:r>
          </w:p>
        </w:tc>
        <w:tc>
          <w:tcPr>
            <w:tcW w:type="dxa" w:w="2520"/>
            <w:vAlign w:val="top"/>
          </w:tcPr>
          <w:p>
            <w:r>
              <w:rPr>
                <w:sz w:val="17"/>
              </w:rPr>
              <w:t>Minimum raw deflection required for calibration to count as a real contraction.</w:t>
            </w:r>
          </w:p>
        </w:tc>
        <w:tc>
          <w:tcPr>
            <w:tcW w:type="dxa" w:w="2520"/>
            <w:vAlign w:val="top"/>
          </w:tcPr>
          <w:p>
            <w:r>
              <w:rPr>
                <w:sz w:val="17"/>
              </w:rPr>
              <w:t>129</w:t>
            </w:r>
          </w:p>
        </w:tc>
      </w:tr>
      <w:tr>
        <w:tc>
          <w:tcPr>
            <w:tcW w:type="dxa" w:w="2520"/>
            <w:vAlign w:val="top"/>
          </w:tcPr>
          <w:p>
            <w:r>
              <w:rPr>
                <w:sz w:val="17"/>
              </w:rPr>
              <w:t>CAL_OK</w:t>
            </w:r>
          </w:p>
        </w:tc>
        <w:tc>
          <w:tcPr>
            <w:tcW w:type="dxa" w:w="2520"/>
            <w:vAlign w:val="top"/>
          </w:tcPr>
          <w:p>
            <w:r>
              <w:rPr>
                <w:sz w:val="17"/>
              </w:rPr>
              <w:t>"ok"</w:t>
            </w:r>
          </w:p>
        </w:tc>
        <w:tc>
          <w:tcPr>
            <w:tcW w:type="dxa" w:w="2520"/>
            <w:vAlign w:val="top"/>
          </w:tcPr>
          <w:p>
            <w:r>
              <w:rPr>
                <w:sz w:val="17"/>
              </w:rPr>
              <w:t>Calibration status string for success.</w:t>
            </w:r>
          </w:p>
        </w:tc>
        <w:tc>
          <w:tcPr>
            <w:tcW w:type="dxa" w:w="2520"/>
            <w:vAlign w:val="top"/>
          </w:tcPr>
          <w:p>
            <w:r>
              <w:rPr>
                <w:sz w:val="17"/>
              </w:rPr>
              <w:t>132</w:t>
            </w:r>
          </w:p>
        </w:tc>
      </w:tr>
      <w:tr>
        <w:tc>
          <w:tcPr>
            <w:tcW w:type="dxa" w:w="2520"/>
            <w:vAlign w:val="top"/>
          </w:tcPr>
          <w:p>
            <w:r>
              <w:rPr>
                <w:sz w:val="17"/>
              </w:rPr>
              <w:t>CAL_QUIT</w:t>
            </w:r>
          </w:p>
        </w:tc>
        <w:tc>
          <w:tcPr>
            <w:tcW w:type="dxa" w:w="2520"/>
            <w:vAlign w:val="top"/>
          </w:tcPr>
          <w:p>
            <w:r>
              <w:rPr>
                <w:sz w:val="17"/>
              </w:rPr>
              <w:t>"quit"</w:t>
            </w:r>
          </w:p>
        </w:tc>
        <w:tc>
          <w:tcPr>
            <w:tcW w:type="dxa" w:w="2520"/>
            <w:vAlign w:val="top"/>
          </w:tcPr>
          <w:p>
            <w:r>
              <w:rPr>
                <w:sz w:val="17"/>
              </w:rPr>
              <w:t>Calibration status string for operator/user abort.</w:t>
            </w:r>
          </w:p>
        </w:tc>
        <w:tc>
          <w:tcPr>
            <w:tcW w:type="dxa" w:w="2520"/>
            <w:vAlign w:val="top"/>
          </w:tcPr>
          <w:p>
            <w:r>
              <w:rPr>
                <w:sz w:val="17"/>
              </w:rPr>
              <w:t>133</w:t>
            </w:r>
          </w:p>
        </w:tc>
      </w:tr>
      <w:tr>
        <w:tc>
          <w:tcPr>
            <w:tcW w:type="dxa" w:w="2520"/>
            <w:vAlign w:val="top"/>
          </w:tcPr>
          <w:p>
            <w:r>
              <w:rPr>
                <w:sz w:val="17"/>
              </w:rPr>
              <w:t>CAL_NO_FORCE</w:t>
            </w:r>
          </w:p>
        </w:tc>
        <w:tc>
          <w:tcPr>
            <w:tcW w:type="dxa" w:w="2520"/>
            <w:vAlign w:val="top"/>
          </w:tcPr>
          <w:p>
            <w:r>
              <w:rPr>
                <w:sz w:val="17"/>
              </w:rPr>
              <w:t>"no_force"</w:t>
            </w:r>
          </w:p>
        </w:tc>
        <w:tc>
          <w:tcPr>
            <w:tcW w:type="dxa" w:w="2520"/>
            <w:vAlign w:val="top"/>
          </w:tcPr>
          <w:p>
            <w:r>
              <w:rPr>
                <w:sz w:val="17"/>
              </w:rPr>
              <w:t>Calibration status string for insufficient contraction.</w:t>
            </w:r>
          </w:p>
        </w:tc>
        <w:tc>
          <w:tcPr>
            <w:tcW w:type="dxa" w:w="2520"/>
            <w:vAlign w:val="top"/>
          </w:tcPr>
          <w:p>
            <w:r>
              <w:rPr>
                <w:sz w:val="17"/>
              </w:rPr>
              <w:t>134</w:t>
            </w:r>
          </w:p>
        </w:tc>
      </w:tr>
    </w:tbl>
    <w:p>
      <w:pPr>
        <w:pStyle w:val="Heading2"/>
      </w:pPr>
      <w:r>
        <w:t>Trials and baseline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TOTAL_TRIALS</w:t>
            </w:r>
          </w:p>
        </w:tc>
        <w:tc>
          <w:tcPr>
            <w:tcW w:type="dxa" w:w="2520"/>
            <w:vAlign w:val="top"/>
          </w:tcPr>
          <w:p>
            <w:r>
              <w:rPr>
                <w:sz w:val="17"/>
              </w:rPr>
              <w:t>15</w:t>
            </w:r>
          </w:p>
        </w:tc>
        <w:tc>
          <w:tcPr>
            <w:tcW w:type="dxa" w:w="2520"/>
            <w:vAlign w:val="top"/>
          </w:tcPr>
          <w:p>
            <w:r>
              <w:rPr>
                <w:sz w:val="17"/>
              </w:rPr>
              <w:t>Requested number of main-task trials per block.</w:t>
            </w:r>
          </w:p>
        </w:tc>
        <w:tc>
          <w:tcPr>
            <w:tcW w:type="dxa" w:w="2520"/>
            <w:vAlign w:val="top"/>
          </w:tcPr>
          <w:p>
            <w:r>
              <w:rPr>
                <w:sz w:val="17"/>
              </w:rPr>
              <w:t>141</w:t>
            </w:r>
          </w:p>
        </w:tc>
      </w:tr>
      <w:tr>
        <w:tc>
          <w:tcPr>
            <w:tcW w:type="dxa" w:w="2520"/>
            <w:vAlign w:val="top"/>
          </w:tcPr>
          <w:p>
            <w:r>
              <w:rPr>
                <w:sz w:val="17"/>
              </w:rPr>
              <w:t>FAMILIARIZATION_TRIALS</w:t>
            </w:r>
          </w:p>
        </w:tc>
        <w:tc>
          <w:tcPr>
            <w:tcW w:type="dxa" w:w="2520"/>
            <w:vAlign w:val="top"/>
          </w:tcPr>
          <w:p>
            <w:r>
              <w:rPr>
                <w:sz w:val="17"/>
              </w:rPr>
              <w:t>5</w:t>
            </w:r>
          </w:p>
        </w:tc>
        <w:tc>
          <w:tcPr>
            <w:tcW w:type="dxa" w:w="2520"/>
            <w:vAlign w:val="top"/>
          </w:tcPr>
          <w:p>
            <w:r>
              <w:rPr>
                <w:sz w:val="17"/>
              </w:rPr>
              <w:t>Number of practice trials; data discarded.</w:t>
            </w:r>
          </w:p>
        </w:tc>
        <w:tc>
          <w:tcPr>
            <w:tcW w:type="dxa" w:w="2520"/>
            <w:vAlign w:val="top"/>
          </w:tcPr>
          <w:p>
            <w:r>
              <w:rPr>
                <w:sz w:val="17"/>
              </w:rPr>
              <w:t>145</w:t>
            </w:r>
          </w:p>
        </w:tc>
      </w:tr>
      <w:tr>
        <w:tc>
          <w:tcPr>
            <w:tcW w:type="dxa" w:w="2520"/>
            <w:vAlign w:val="top"/>
          </w:tcPr>
          <w:p>
            <w:r>
              <w:rPr>
                <w:sz w:val="17"/>
              </w:rPr>
              <w:t>BASELINE_TRIALS</w:t>
            </w:r>
          </w:p>
        </w:tc>
        <w:tc>
          <w:tcPr>
            <w:tcW w:type="dxa" w:w="2520"/>
            <w:vAlign w:val="top"/>
          </w:tcPr>
          <w:p>
            <w:r>
              <w:rPr>
                <w:sz w:val="17"/>
              </w:rPr>
              <w:t>10</w:t>
            </w:r>
          </w:p>
        </w:tc>
        <w:tc>
          <w:tcPr>
            <w:tcW w:type="dxa" w:w="2520"/>
            <w:vAlign w:val="top"/>
          </w:tcPr>
          <w:p>
            <w:r>
              <w:rPr>
                <w:sz w:val="17"/>
              </w:rPr>
              <w:t>Number of no-stimulation baseline trials used for individualized references.</w:t>
            </w:r>
          </w:p>
        </w:tc>
        <w:tc>
          <w:tcPr>
            <w:tcW w:type="dxa" w:w="2520"/>
            <w:vAlign w:val="top"/>
          </w:tcPr>
          <w:p>
            <w:r>
              <w:rPr>
                <w:sz w:val="17"/>
              </w:rPr>
              <w:t>146</w:t>
            </w:r>
          </w:p>
        </w:tc>
      </w:tr>
      <w:tr>
        <w:tc>
          <w:tcPr>
            <w:tcW w:type="dxa" w:w="2520"/>
            <w:vAlign w:val="top"/>
          </w:tcPr>
          <w:p>
            <w:r>
              <w:rPr>
                <w:sz w:val="17"/>
              </w:rPr>
              <w:t>MAIN_TASK_LOADBAR_DEFAULT</w:t>
            </w:r>
          </w:p>
        </w:tc>
        <w:tc>
          <w:tcPr>
            <w:tcW w:type="dxa" w:w="2520"/>
            <w:vAlign w:val="top"/>
          </w:tcPr>
          <w:p>
            <w:r>
              <w:rPr>
                <w:sz w:val="17"/>
              </w:rPr>
              <w:t>True</w:t>
            </w:r>
          </w:p>
        </w:tc>
        <w:tc>
          <w:tcPr>
            <w:tcW w:type="dxa" w:w="2520"/>
            <w:vAlign w:val="top"/>
          </w:tcPr>
          <w:p>
            <w:r>
              <w:rPr>
                <w:sz w:val="17"/>
              </w:rPr>
              <w:t>Default state of PREP loadbar in main task.</w:t>
            </w:r>
          </w:p>
        </w:tc>
        <w:tc>
          <w:tcPr>
            <w:tcW w:type="dxa" w:w="2520"/>
            <w:vAlign w:val="top"/>
          </w:tcPr>
          <w:p>
            <w:r>
              <w:rPr>
                <w:sz w:val="17"/>
              </w:rPr>
              <w:t>149</w:t>
            </w:r>
          </w:p>
        </w:tc>
      </w:tr>
      <w:tr>
        <w:tc>
          <w:tcPr>
            <w:tcW w:type="dxa" w:w="2520"/>
            <w:vAlign w:val="top"/>
          </w:tcPr>
          <w:p>
            <w:r>
              <w:rPr>
                <w:sz w:val="17"/>
              </w:rPr>
              <w:t>PLATEAU_FRACTION_OF_PEAK</w:t>
            </w:r>
          </w:p>
        </w:tc>
        <w:tc>
          <w:tcPr>
            <w:tcW w:type="dxa" w:w="2520"/>
            <w:vAlign w:val="top"/>
          </w:tcPr>
          <w:p>
            <w:r>
              <w:rPr>
                <w:sz w:val="17"/>
              </w:rPr>
              <w:t>0.95</w:t>
            </w:r>
          </w:p>
        </w:tc>
        <w:tc>
          <w:tcPr>
            <w:tcW w:type="dxa" w:w="2520"/>
            <w:vAlign w:val="top"/>
          </w:tcPr>
          <w:p>
            <w:r>
              <w:rPr>
                <w:sz w:val="17"/>
              </w:rPr>
              <w:t>Fraction of trial peak defining the baseline plateau level.</w:t>
            </w:r>
          </w:p>
        </w:tc>
        <w:tc>
          <w:tcPr>
            <w:tcW w:type="dxa" w:w="2520"/>
            <w:vAlign w:val="top"/>
          </w:tcPr>
          <w:p>
            <w:r>
              <w:rPr>
                <w:sz w:val="17"/>
              </w:rPr>
              <w:t>155</w:t>
            </w:r>
          </w:p>
        </w:tc>
      </w:tr>
      <w:tr>
        <w:tc>
          <w:tcPr>
            <w:tcW w:type="dxa" w:w="2520"/>
            <w:vAlign w:val="top"/>
          </w:tcPr>
          <w:p>
            <w:r>
              <w:rPr>
                <w:sz w:val="17"/>
              </w:rPr>
              <w:t>PLATEAU_HOLD_S</w:t>
            </w:r>
          </w:p>
        </w:tc>
        <w:tc>
          <w:tcPr>
            <w:tcW w:type="dxa" w:w="2520"/>
            <w:vAlign w:val="top"/>
          </w:tcPr>
          <w:p>
            <w:r>
              <w:rPr>
                <w:sz w:val="17"/>
              </w:rPr>
              <w:t>0.050</w:t>
            </w:r>
          </w:p>
        </w:tc>
        <w:tc>
          <w:tcPr>
            <w:tcW w:type="dxa" w:w="2520"/>
            <w:vAlign w:val="top"/>
          </w:tcPr>
          <w:p>
            <w:r>
              <w:rPr>
                <w:sz w:val="17"/>
              </w:rPr>
              <w:t>Required continuous time at/above plateau level.</w:t>
            </w:r>
          </w:p>
        </w:tc>
        <w:tc>
          <w:tcPr>
            <w:tcW w:type="dxa" w:w="2520"/>
            <w:vAlign w:val="top"/>
          </w:tcPr>
          <w:p>
            <w:r>
              <w:rPr>
                <w:sz w:val="17"/>
              </w:rPr>
              <w:t>156</w:t>
            </w:r>
          </w:p>
        </w:tc>
      </w:tr>
      <w:tr>
        <w:tc>
          <w:tcPr>
            <w:tcW w:type="dxa" w:w="2520"/>
            <w:vAlign w:val="top"/>
          </w:tcPr>
          <w:p>
            <w:r>
              <w:rPr>
                <w:sz w:val="17"/>
              </w:rPr>
              <w:t>INDIVIDUALIZE_RFD_CHECK_END</w:t>
            </w:r>
          </w:p>
        </w:tc>
        <w:tc>
          <w:tcPr>
            <w:tcW w:type="dxa" w:w="2520"/>
            <w:vAlign w:val="top"/>
          </w:tcPr>
          <w:p>
            <w:r>
              <w:rPr>
                <w:sz w:val="17"/>
              </w:rPr>
              <w:t>True</w:t>
            </w:r>
          </w:p>
        </w:tc>
        <w:tc>
          <w:tcPr>
            <w:tcW w:type="dxa" w:w="2520"/>
            <w:vAlign w:val="top"/>
          </w:tcPr>
          <w:p>
            <w:r>
              <w:rPr>
                <w:sz w:val="17"/>
              </w:rPr>
              <w:t>Whether baseline-derived plateau timing replaces the fallback RFD checking endpoint.</w:t>
            </w:r>
          </w:p>
        </w:tc>
        <w:tc>
          <w:tcPr>
            <w:tcW w:type="dxa" w:w="2520"/>
            <w:vAlign w:val="top"/>
          </w:tcPr>
          <w:p>
            <w:r>
              <w:rPr>
                <w:sz w:val="17"/>
              </w:rPr>
              <w:t>161</w:t>
            </w:r>
          </w:p>
        </w:tc>
      </w:tr>
      <w:tr>
        <w:tc>
          <w:tcPr>
            <w:tcW w:type="dxa" w:w="2520"/>
            <w:vAlign w:val="top"/>
          </w:tcPr>
          <w:p>
            <w:r>
              <w:rPr>
                <w:sz w:val="17"/>
              </w:rPr>
              <w:t>MAX_RFD_CHECK_END_S</w:t>
            </w:r>
          </w:p>
        </w:tc>
        <w:tc>
          <w:tcPr>
            <w:tcW w:type="dxa" w:w="2520"/>
            <w:vAlign w:val="top"/>
          </w:tcPr>
          <w:p>
            <w:r>
              <w:rPr>
                <w:sz w:val="17"/>
              </w:rPr>
              <w:t>0.180</w:t>
            </w:r>
          </w:p>
        </w:tc>
        <w:tc>
          <w:tcPr>
            <w:tcW w:type="dxa" w:w="2520"/>
            <w:vAlign w:val="top"/>
          </w:tcPr>
          <w:p>
            <w:r>
              <w:rPr>
                <w:sz w:val="17"/>
              </w:rPr>
              <w:t>Hard maximum allowed endpoint for stimulation checking.</w:t>
            </w:r>
          </w:p>
        </w:tc>
        <w:tc>
          <w:tcPr>
            <w:tcW w:type="dxa" w:w="2520"/>
            <w:vAlign w:val="top"/>
          </w:tcPr>
          <w:p>
            <w:r>
              <w:rPr>
                <w:sz w:val="17"/>
              </w:rPr>
              <w:t>167</w:t>
            </w:r>
          </w:p>
        </w:tc>
      </w:tr>
    </w:tbl>
    <w:p>
      <w:pPr>
        <w:pStyle w:val="Heading2"/>
      </w:pPr>
      <w:r>
        <w:t>Adaptive and onset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SLOPE_REFERENCE_TRIALS</w:t>
            </w:r>
          </w:p>
        </w:tc>
        <w:tc>
          <w:tcPr>
            <w:tcW w:type="dxa" w:w="2520"/>
            <w:vAlign w:val="top"/>
          </w:tcPr>
          <w:p>
            <w:r>
              <w:rPr>
                <w:sz w:val="17"/>
              </w:rPr>
              <w:t>3</w:t>
            </w:r>
          </w:p>
        </w:tc>
        <w:tc>
          <w:tcPr>
            <w:tcW w:type="dxa" w:w="2520"/>
            <w:vAlign w:val="top"/>
          </w:tcPr>
          <w:p>
            <w:r>
              <w:rPr>
                <w:sz w:val="17"/>
              </w:rPr>
              <w:t>Number of previous checkpoint RFD profiles averaged for the adaptive RFD reference.</w:t>
            </w:r>
          </w:p>
        </w:tc>
        <w:tc>
          <w:tcPr>
            <w:tcW w:type="dxa" w:w="2520"/>
            <w:vAlign w:val="top"/>
          </w:tcPr>
          <w:p>
            <w:r>
              <w:rPr>
                <w:sz w:val="17"/>
              </w:rPr>
              <w:t>175</w:t>
            </w:r>
          </w:p>
        </w:tc>
      </w:tr>
      <w:tr>
        <w:tc>
          <w:tcPr>
            <w:tcW w:type="dxa" w:w="2520"/>
            <w:vAlign w:val="top"/>
          </w:tcPr>
          <w:p>
            <w:r>
              <w:rPr>
                <w:sz w:val="17"/>
              </w:rPr>
              <w:t>FORCE_REFERENCE_TRIALS</w:t>
            </w:r>
          </w:p>
        </w:tc>
        <w:tc>
          <w:tcPr>
            <w:tcW w:type="dxa" w:w="2520"/>
            <w:vAlign w:val="top"/>
          </w:tcPr>
          <w:p>
            <w:r>
              <w:rPr>
                <w:sz w:val="17"/>
              </w:rPr>
              <w:t>3</w:t>
            </w:r>
          </w:p>
        </w:tc>
        <w:tc>
          <w:tcPr>
            <w:tcW w:type="dxa" w:w="2520"/>
            <w:vAlign w:val="top"/>
          </w:tcPr>
          <w:p>
            <w:r>
              <w:rPr>
                <w:sz w:val="17"/>
              </w:rPr>
              <w:t>Number of previous checkpoint force profiles averaged for force reference.</w:t>
            </w:r>
          </w:p>
        </w:tc>
        <w:tc>
          <w:tcPr>
            <w:tcW w:type="dxa" w:w="2520"/>
            <w:vAlign w:val="top"/>
          </w:tcPr>
          <w:p>
            <w:r>
              <w:rPr>
                <w:sz w:val="17"/>
              </w:rPr>
              <w:t>178</w:t>
            </w:r>
          </w:p>
        </w:tc>
      </w:tr>
      <w:tr>
        <w:tc>
          <w:tcPr>
            <w:tcW w:type="dxa" w:w="2520"/>
            <w:vAlign w:val="top"/>
          </w:tcPr>
          <w:p>
            <w:r>
              <w:rPr>
                <w:sz w:val="17"/>
              </w:rPr>
              <w:t>SLOPE_TRIGGER_MODE</w:t>
            </w:r>
          </w:p>
        </w:tc>
        <w:tc>
          <w:tcPr>
            <w:tcW w:type="dxa" w:w="2520"/>
            <w:vAlign w:val="top"/>
          </w:tcPr>
          <w:p>
            <w:r>
              <w:rPr>
                <w:sz w:val="17"/>
              </w:rPr>
              <w:t>"BELOW"</w:t>
            </w:r>
          </w:p>
        </w:tc>
        <w:tc>
          <w:tcPr>
            <w:tcW w:type="dxa" w:w="2520"/>
            <w:vAlign w:val="top"/>
          </w:tcPr>
          <w:p>
            <w:r>
              <w:rPr>
                <w:sz w:val="17"/>
              </w:rPr>
              <w:t>Default direction: BELOW or ABOVE; startup GUI can override.</w:t>
            </w:r>
          </w:p>
        </w:tc>
        <w:tc>
          <w:tcPr>
            <w:tcW w:type="dxa" w:w="2520"/>
            <w:vAlign w:val="top"/>
          </w:tcPr>
          <w:p>
            <w:r>
              <w:rPr>
                <w:sz w:val="17"/>
              </w:rPr>
              <w:t>182</w:t>
            </w:r>
          </w:p>
        </w:tc>
      </w:tr>
      <w:tr>
        <w:tc>
          <w:tcPr>
            <w:tcW w:type="dxa" w:w="2520"/>
            <w:vAlign w:val="top"/>
          </w:tcPr>
          <w:p>
            <w:r>
              <w:rPr>
                <w:sz w:val="17"/>
              </w:rPr>
              <w:t>STIMULATION_METRIC_MODE</w:t>
            </w:r>
          </w:p>
        </w:tc>
        <w:tc>
          <w:tcPr>
            <w:tcW w:type="dxa" w:w="2520"/>
            <w:vAlign w:val="top"/>
          </w:tcPr>
          <w:p>
            <w:r>
              <w:rPr>
                <w:sz w:val="17"/>
              </w:rPr>
              <w:t>"COMBINED"</w:t>
            </w:r>
          </w:p>
        </w:tc>
        <w:tc>
          <w:tcPr>
            <w:tcW w:type="dxa" w:w="2520"/>
            <w:vAlign w:val="top"/>
          </w:tcPr>
          <w:p>
            <w:r>
              <w:rPr>
                <w:sz w:val="17"/>
              </w:rPr>
              <w:t>Default decision metric: RFD_ONLY, FORCE_ONLY, or COMBINED.</w:t>
            </w:r>
          </w:p>
        </w:tc>
        <w:tc>
          <w:tcPr>
            <w:tcW w:type="dxa" w:w="2520"/>
            <w:vAlign w:val="top"/>
          </w:tcPr>
          <w:p>
            <w:r>
              <w:rPr>
                <w:sz w:val="17"/>
              </w:rPr>
              <w:t>189</w:t>
            </w:r>
          </w:p>
        </w:tc>
      </w:tr>
      <w:tr>
        <w:tc>
          <w:tcPr>
            <w:tcW w:type="dxa" w:w="2520"/>
            <w:vAlign w:val="top"/>
          </w:tcPr>
          <w:p>
            <w:r>
              <w:rPr>
                <w:sz w:val="17"/>
              </w:rPr>
              <w:t>VALID_STIMULATION_METRIC_MODES</w:t>
            </w:r>
          </w:p>
        </w:tc>
        <w:tc>
          <w:tcPr>
            <w:tcW w:type="dxa" w:w="2520"/>
            <w:vAlign w:val="top"/>
          </w:tcPr>
          <w:p>
            <w:r>
              <w:rPr>
                <w:sz w:val="17"/>
              </w:rPr>
              <w:t>("RFD_ONLY", "FORCE_ONLY", "COMBINED")</w:t>
            </w:r>
          </w:p>
        </w:tc>
        <w:tc>
          <w:tcPr>
            <w:tcW w:type="dxa" w:w="2520"/>
            <w:vAlign w:val="top"/>
          </w:tcPr>
          <w:p>
            <w:r>
              <w:rPr>
                <w:sz w:val="17"/>
              </w:rPr>
              <w:t>Allowed startup metric-mode values.</w:t>
            </w:r>
          </w:p>
        </w:tc>
        <w:tc>
          <w:tcPr>
            <w:tcW w:type="dxa" w:w="2520"/>
            <w:vAlign w:val="top"/>
          </w:tcPr>
          <w:p>
            <w:r>
              <w:rPr>
                <w:sz w:val="17"/>
              </w:rPr>
              <w:t>190</w:t>
            </w:r>
          </w:p>
        </w:tc>
      </w:tr>
      <w:tr>
        <w:tc>
          <w:tcPr>
            <w:tcW w:type="dxa" w:w="2520"/>
            <w:vAlign w:val="top"/>
          </w:tcPr>
          <w:p>
            <w:r>
              <w:rPr>
                <w:sz w:val="17"/>
              </w:rPr>
              <w:t>TRIGGER_MARGIN_FRACTION</w:t>
            </w:r>
          </w:p>
        </w:tc>
        <w:tc>
          <w:tcPr>
            <w:tcW w:type="dxa" w:w="2520"/>
            <w:vAlign w:val="top"/>
          </w:tcPr>
          <w:p>
            <w:r>
              <w:rPr>
                <w:sz w:val="17"/>
              </w:rPr>
              <w:t>0.10</w:t>
            </w:r>
          </w:p>
        </w:tc>
        <w:tc>
          <w:tcPr>
            <w:tcW w:type="dxa" w:w="2520"/>
            <w:vAlign w:val="top"/>
          </w:tcPr>
          <w:p>
            <w:r>
              <w:rPr>
                <w:sz w:val="17"/>
              </w:rPr>
              <w:t>Relative RFD separation required from adaptive reference; 0.10 means 90%/110% boundaries.</w:t>
            </w:r>
          </w:p>
        </w:tc>
        <w:tc>
          <w:tcPr>
            <w:tcW w:type="dxa" w:w="2520"/>
            <w:vAlign w:val="top"/>
          </w:tcPr>
          <w:p>
            <w:r>
              <w:rPr>
                <w:sz w:val="17"/>
              </w:rPr>
              <w:t>200</w:t>
            </w:r>
          </w:p>
        </w:tc>
      </w:tr>
      <w:tr>
        <w:tc>
          <w:tcPr>
            <w:tcW w:type="dxa" w:w="2520"/>
            <w:vAlign w:val="top"/>
          </w:tcPr>
          <w:p>
            <w:r>
              <w:rPr>
                <w:sz w:val="17"/>
              </w:rPr>
              <w:t>RISING_ONSET_FORCE</w:t>
            </w:r>
          </w:p>
        </w:tc>
        <w:tc>
          <w:tcPr>
            <w:tcW w:type="dxa" w:w="2520"/>
            <w:vAlign w:val="top"/>
          </w:tcPr>
          <w:p>
            <w:r>
              <w:rPr>
                <w:sz w:val="17"/>
              </w:rPr>
              <w:t>0.05</w:t>
            </w:r>
          </w:p>
        </w:tc>
        <w:tc>
          <w:tcPr>
            <w:tcW w:type="dxa" w:w="2520"/>
            <w:vAlign w:val="top"/>
          </w:tcPr>
          <w:p>
            <w:r>
              <w:rPr>
                <w:sz w:val="17"/>
              </w:rPr>
              <w:t>Force threshold, in MVC fraction, for candidate onset.</w:t>
            </w:r>
          </w:p>
        </w:tc>
        <w:tc>
          <w:tcPr>
            <w:tcW w:type="dxa" w:w="2520"/>
            <w:vAlign w:val="top"/>
          </w:tcPr>
          <w:p>
            <w:r>
              <w:rPr>
                <w:sz w:val="17"/>
              </w:rPr>
              <w:t>213</w:t>
            </w:r>
          </w:p>
        </w:tc>
      </w:tr>
      <w:tr>
        <w:tc>
          <w:tcPr>
            <w:tcW w:type="dxa" w:w="2520"/>
            <w:vAlign w:val="top"/>
          </w:tcPr>
          <w:p>
            <w:r>
              <w:rPr>
                <w:sz w:val="17"/>
              </w:rPr>
              <w:t>ONSET_CONFIRM_SAMPLES</w:t>
            </w:r>
          </w:p>
        </w:tc>
        <w:tc>
          <w:tcPr>
            <w:tcW w:type="dxa" w:w="2520"/>
            <w:vAlign w:val="top"/>
          </w:tcPr>
          <w:p>
            <w:r>
              <w:rPr>
                <w:sz w:val="17"/>
              </w:rPr>
              <w:t>5</w:t>
            </w:r>
          </w:p>
        </w:tc>
        <w:tc>
          <w:tcPr>
            <w:tcW w:type="dxa" w:w="2520"/>
            <w:vAlign w:val="top"/>
          </w:tcPr>
          <w:p>
            <w:r>
              <w:rPr>
                <w:sz w:val="17"/>
              </w:rPr>
              <w:t>Consecutive above-threshold samples required to confirm onset.</w:t>
            </w:r>
          </w:p>
        </w:tc>
        <w:tc>
          <w:tcPr>
            <w:tcW w:type="dxa" w:w="2520"/>
            <w:vAlign w:val="top"/>
          </w:tcPr>
          <w:p>
            <w:r>
              <w:rPr>
                <w:sz w:val="17"/>
              </w:rPr>
              <w:t>223</w:t>
            </w:r>
          </w:p>
        </w:tc>
      </w:tr>
      <w:tr>
        <w:tc>
          <w:tcPr>
            <w:tcW w:type="dxa" w:w="2520"/>
            <w:vAlign w:val="top"/>
          </w:tcPr>
          <w:p>
            <w:r>
              <w:rPr>
                <w:sz w:val="17"/>
              </w:rPr>
              <w:t>ONSET_SEARCH_WINDOW_S</w:t>
            </w:r>
          </w:p>
        </w:tc>
        <w:tc>
          <w:tcPr>
            <w:tcW w:type="dxa" w:w="2520"/>
            <w:vAlign w:val="top"/>
          </w:tcPr>
          <w:p>
            <w:r>
              <w:rPr>
                <w:sz w:val="17"/>
              </w:rPr>
              <w:t>0.850</w:t>
            </w:r>
          </w:p>
        </w:tc>
        <w:tc>
          <w:tcPr>
            <w:tcW w:type="dxa" w:w="2520"/>
            <w:vAlign w:val="top"/>
          </w:tcPr>
          <w:p>
            <w:r>
              <w:rPr>
                <w:sz w:val="17"/>
              </w:rPr>
              <w:t>Maximum time after GO in which onset can be accepted.</w:t>
            </w:r>
          </w:p>
        </w:tc>
        <w:tc>
          <w:tcPr>
            <w:tcW w:type="dxa" w:w="2520"/>
            <w:vAlign w:val="top"/>
          </w:tcPr>
          <w:p>
            <w:r>
              <w:rPr>
                <w:sz w:val="17"/>
              </w:rPr>
              <w:t>231</w:t>
            </w:r>
          </w:p>
        </w:tc>
      </w:tr>
      <w:tr>
        <w:tc>
          <w:tcPr>
            <w:tcW w:type="dxa" w:w="2520"/>
            <w:vAlign w:val="top"/>
          </w:tcPr>
          <w:p>
            <w:r>
              <w:rPr>
                <w:sz w:val="17"/>
              </w:rPr>
              <w:t>POST_ONSET_WINDOW_S</w:t>
            </w:r>
          </w:p>
        </w:tc>
        <w:tc>
          <w:tcPr>
            <w:tcW w:type="dxa" w:w="2520"/>
            <w:vAlign w:val="top"/>
          </w:tcPr>
          <w:p>
            <w:r>
              <w:rPr>
                <w:sz w:val="17"/>
              </w:rPr>
              <w:t>2.00</w:t>
            </w:r>
          </w:p>
        </w:tc>
        <w:tc>
          <w:tcPr>
            <w:tcW w:type="dxa" w:w="2520"/>
            <w:vAlign w:val="top"/>
          </w:tcPr>
          <w:p>
            <w:r>
              <w:rPr>
                <w:sz w:val="17"/>
              </w:rPr>
              <w:t>Amount of post-onset data retained/considered for analysis.</w:t>
            </w:r>
          </w:p>
        </w:tc>
        <w:tc>
          <w:tcPr>
            <w:tcW w:type="dxa" w:w="2520"/>
            <w:vAlign w:val="top"/>
          </w:tcPr>
          <w:p>
            <w:r>
              <w:rPr>
                <w:sz w:val="17"/>
              </w:rPr>
              <w:t>239</w:t>
            </w:r>
          </w:p>
        </w:tc>
      </w:tr>
      <w:tr>
        <w:tc>
          <w:tcPr>
            <w:tcW w:type="dxa" w:w="2520"/>
            <w:vAlign w:val="top"/>
          </w:tcPr>
          <w:p>
            <w:r>
              <w:rPr>
                <w:sz w:val="17"/>
              </w:rPr>
              <w:t>SLOPE_SMOOTHING_SAMPLES</w:t>
            </w:r>
          </w:p>
        </w:tc>
        <w:tc>
          <w:tcPr>
            <w:tcW w:type="dxa" w:w="2520"/>
            <w:vAlign w:val="top"/>
          </w:tcPr>
          <w:p>
            <w:r>
              <w:rPr>
                <w:sz w:val="17"/>
              </w:rPr>
              <w:t>3</w:t>
            </w:r>
          </w:p>
        </w:tc>
        <w:tc>
          <w:tcPr>
            <w:tcW w:type="dxa" w:w="2520"/>
            <w:vAlign w:val="top"/>
          </w:tcPr>
          <w:p>
            <w:r>
              <w:rPr>
                <w:sz w:val="17"/>
              </w:rPr>
              <w:t>Causal moving-average kernel length before onset/RFD calculations.</w:t>
            </w:r>
          </w:p>
        </w:tc>
        <w:tc>
          <w:tcPr>
            <w:tcW w:type="dxa" w:w="2520"/>
            <w:vAlign w:val="top"/>
          </w:tcPr>
          <w:p>
            <w:r>
              <w:rPr>
                <w:sz w:val="17"/>
              </w:rPr>
              <w:t>247</w:t>
            </w:r>
          </w:p>
        </w:tc>
      </w:tr>
    </w:tbl>
    <w:p>
      <w:pPr>
        <w:pStyle w:val="Heading2"/>
      </w:pPr>
      <w:r>
        <w:t>RFD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LOCAL_RFD_WINDOW_S</w:t>
            </w:r>
          </w:p>
        </w:tc>
        <w:tc>
          <w:tcPr>
            <w:tcW w:type="dxa" w:w="2520"/>
            <w:vAlign w:val="top"/>
          </w:tcPr>
          <w:p>
            <w:r>
              <w:rPr>
                <w:sz w:val="17"/>
              </w:rPr>
              <w:t>0.020</w:t>
            </w:r>
          </w:p>
        </w:tc>
        <w:tc>
          <w:tcPr>
            <w:tcW w:type="dxa" w:w="2520"/>
            <w:vAlign w:val="top"/>
          </w:tcPr>
          <w:p>
            <w:r>
              <w:rPr>
                <w:sz w:val="17"/>
              </w:rPr>
              <w:t>Length of local regression window used for real-time RFD.</w:t>
            </w:r>
          </w:p>
        </w:tc>
        <w:tc>
          <w:tcPr>
            <w:tcW w:type="dxa" w:w="2520"/>
            <w:vAlign w:val="top"/>
          </w:tcPr>
          <w:p>
            <w:r>
              <w:rPr>
                <w:sz w:val="17"/>
              </w:rPr>
              <w:t>279</w:t>
            </w:r>
          </w:p>
        </w:tc>
      </w:tr>
      <w:tr>
        <w:tc>
          <w:tcPr>
            <w:tcW w:type="dxa" w:w="2520"/>
            <w:vAlign w:val="top"/>
          </w:tcPr>
          <w:p>
            <w:r>
              <w:rPr>
                <w:sz w:val="17"/>
              </w:rPr>
              <w:t>RFD_CHECK_START_S</w:t>
            </w:r>
          </w:p>
        </w:tc>
        <w:tc>
          <w:tcPr>
            <w:tcW w:type="dxa" w:w="2520"/>
            <w:vAlign w:val="top"/>
          </w:tcPr>
          <w:p>
            <w:r>
              <w:rPr>
                <w:sz w:val="17"/>
              </w:rPr>
              <w:t>0.020</w:t>
            </w:r>
          </w:p>
        </w:tc>
        <w:tc>
          <w:tcPr>
            <w:tcW w:type="dxa" w:w="2520"/>
            <w:vAlign w:val="top"/>
          </w:tcPr>
          <w:p>
            <w:r>
              <w:rPr>
                <w:sz w:val="17"/>
              </w:rPr>
              <w:t>First onset-relative adaptive checkpoint.</w:t>
            </w:r>
          </w:p>
        </w:tc>
        <w:tc>
          <w:tcPr>
            <w:tcW w:type="dxa" w:w="2520"/>
            <w:vAlign w:val="top"/>
          </w:tcPr>
          <w:p>
            <w:r>
              <w:rPr>
                <w:sz w:val="17"/>
              </w:rPr>
              <w:t>284</w:t>
            </w:r>
          </w:p>
        </w:tc>
      </w:tr>
      <w:tr>
        <w:tc>
          <w:tcPr>
            <w:tcW w:type="dxa" w:w="2520"/>
            <w:vAlign w:val="top"/>
          </w:tcPr>
          <w:p>
            <w:r>
              <w:rPr>
                <w:sz w:val="17"/>
              </w:rPr>
              <w:t>RFD_CHECK_END_S</w:t>
            </w:r>
          </w:p>
        </w:tc>
        <w:tc>
          <w:tcPr>
            <w:tcW w:type="dxa" w:w="2520"/>
            <w:vAlign w:val="top"/>
          </w:tcPr>
          <w:p>
            <w:r>
              <w:rPr>
                <w:sz w:val="17"/>
              </w:rPr>
              <w:t>0.210</w:t>
            </w:r>
          </w:p>
        </w:tc>
        <w:tc>
          <w:tcPr>
            <w:tcW w:type="dxa" w:w="2520"/>
            <w:vAlign w:val="top"/>
          </w:tcPr>
          <w:p>
            <w:r>
              <w:rPr>
                <w:sz w:val="17"/>
              </w:rPr>
              <w:t>Fallback/active last adaptive checkpoint before baseline individualization.</w:t>
            </w:r>
          </w:p>
        </w:tc>
        <w:tc>
          <w:tcPr>
            <w:tcW w:type="dxa" w:w="2520"/>
            <w:vAlign w:val="top"/>
          </w:tcPr>
          <w:p>
            <w:r>
              <w:rPr>
                <w:sz w:val="17"/>
              </w:rPr>
              <w:t>288</w:t>
            </w:r>
          </w:p>
        </w:tc>
      </w:tr>
      <w:tr>
        <w:tc>
          <w:tcPr>
            <w:tcW w:type="dxa" w:w="2520"/>
            <w:vAlign w:val="top"/>
          </w:tcPr>
          <w:p>
            <w:r>
              <w:rPr>
                <w:sz w:val="17"/>
              </w:rPr>
              <w:t>RFD_CHECK_STEP_S</w:t>
            </w:r>
          </w:p>
        </w:tc>
        <w:tc>
          <w:tcPr>
            <w:tcW w:type="dxa" w:w="2520"/>
            <w:vAlign w:val="top"/>
          </w:tcPr>
          <w:p>
            <w:r>
              <w:rPr>
                <w:sz w:val="17"/>
              </w:rPr>
              <w:t>0.006</w:t>
            </w:r>
          </w:p>
        </w:tc>
        <w:tc>
          <w:tcPr>
            <w:tcW w:type="dxa" w:w="2520"/>
            <w:vAlign w:val="top"/>
          </w:tcPr>
          <w:p>
            <w:r>
              <w:rPr>
                <w:sz w:val="17"/>
              </w:rPr>
              <w:t>Spacing between adaptive checkpoints.</w:t>
            </w:r>
          </w:p>
        </w:tc>
        <w:tc>
          <w:tcPr>
            <w:tcW w:type="dxa" w:w="2520"/>
            <w:vAlign w:val="top"/>
          </w:tcPr>
          <w:p>
            <w:r>
              <w:rPr>
                <w:sz w:val="17"/>
              </w:rPr>
              <w:t>293</w:t>
            </w:r>
          </w:p>
        </w:tc>
      </w:tr>
      <w:tr>
        <w:tc>
          <w:tcPr>
            <w:tcW w:type="dxa" w:w="2520"/>
            <w:vAlign w:val="top"/>
          </w:tcPr>
          <w:p>
            <w:r>
              <w:rPr>
                <w:sz w:val="17"/>
              </w:rPr>
              <w:t>RFD_CHECKPOINTS_S</w:t>
            </w:r>
          </w:p>
        </w:tc>
        <w:tc>
          <w:tcPr>
            <w:tcW w:type="dxa" w:w="2520"/>
            <w:vAlign w:val="top"/>
          </w:tcPr>
          <w:p>
            <w:r>
              <w:rPr>
                <w:sz w:val="17"/>
              </w:rPr>
              <w:t>tuple(</w:t>
              <w:br/>
              <w:t xml:space="preserve">    round(x, 4)</w:t>
              <w:br/>
              <w:t xml:space="preserve">    for x in np.arange(</w:t>
              <w:br/>
              <w:t xml:space="preserve">        RFD_CHECK_START_S,</w:t>
              <w:br/>
              <w:t xml:space="preserve">        RFD_CHECK_END_S + RFD_CHECK_</w:t>
            </w:r>
          </w:p>
        </w:tc>
        <w:tc>
          <w:tcPr>
            <w:tcW w:type="dxa" w:w="2520"/>
            <w:vAlign w:val="top"/>
          </w:tcPr>
          <w:p>
            <w:r>
              <w:rPr>
                <w:sz w:val="17"/>
              </w:rPr>
              <w:t>Generated tuple of onset-relative checkpoints.</w:t>
            </w:r>
          </w:p>
        </w:tc>
        <w:tc>
          <w:tcPr>
            <w:tcW w:type="dxa" w:w="2520"/>
            <w:vAlign w:val="top"/>
          </w:tcPr>
          <w:p>
            <w:r>
              <w:rPr>
                <w:sz w:val="17"/>
              </w:rPr>
              <w:t>295</w:t>
            </w:r>
          </w:p>
        </w:tc>
      </w:tr>
      <w:tr>
        <w:tc>
          <w:tcPr>
            <w:tcW w:type="dxa" w:w="2520"/>
            <w:vAlign w:val="top"/>
          </w:tcPr>
          <w:p>
            <w:r>
              <w:rPr>
                <w:sz w:val="17"/>
              </w:rPr>
              <w:t>RFD_EPOCH_S</w:t>
            </w:r>
          </w:p>
        </w:tc>
        <w:tc>
          <w:tcPr>
            <w:tcW w:type="dxa" w:w="2520"/>
            <w:vAlign w:val="top"/>
          </w:tcPr>
          <w:p>
            <w:r>
              <w:rPr>
                <w:sz w:val="17"/>
              </w:rPr>
              <w:t>0.08</w:t>
            </w:r>
          </w:p>
        </w:tc>
        <w:tc>
          <w:tcPr>
            <w:tcW w:type="dxa" w:w="2520"/>
            <w:vAlign w:val="top"/>
          </w:tcPr>
          <w:p>
            <w:r>
              <w:rPr>
                <w:sz w:val="17"/>
              </w:rPr>
              <w:t>Primary checkpoint/epoch reported in summaries.</w:t>
            </w:r>
          </w:p>
        </w:tc>
        <w:tc>
          <w:tcPr>
            <w:tcW w:type="dxa" w:w="2520"/>
            <w:vAlign w:val="top"/>
          </w:tcPr>
          <w:p>
            <w:r>
              <w:rPr>
                <w:sz w:val="17"/>
              </w:rPr>
              <w:t>305</w:t>
            </w:r>
          </w:p>
        </w:tc>
      </w:tr>
      <w:tr>
        <w:tc>
          <w:tcPr>
            <w:tcW w:type="dxa" w:w="2520"/>
            <w:vAlign w:val="top"/>
          </w:tcPr>
          <w:p>
            <w:r>
              <w:rPr>
                <w:sz w:val="17"/>
              </w:rPr>
              <w:t>RFD_EPOCHS_S</w:t>
            </w:r>
          </w:p>
        </w:tc>
        <w:tc>
          <w:tcPr>
            <w:tcW w:type="dxa" w:w="2520"/>
            <w:vAlign w:val="top"/>
          </w:tcPr>
          <w:p>
            <w:r>
              <w:rPr>
                <w:sz w:val="17"/>
              </w:rPr>
              <w:t>(0.05, 0.10, 0.15, 0.20, 0.30)</w:t>
            </w:r>
          </w:p>
        </w:tc>
        <w:tc>
          <w:tcPr>
            <w:tcW w:type="dxa" w:w="2520"/>
            <w:vAlign w:val="top"/>
          </w:tcPr>
          <w:p>
            <w:r>
              <w:rPr>
                <w:sz w:val="17"/>
              </w:rPr>
              <w:t>Additional post-hoc RFD epochs.</w:t>
            </w:r>
          </w:p>
        </w:tc>
        <w:tc>
          <w:tcPr>
            <w:tcW w:type="dxa" w:w="2520"/>
            <w:vAlign w:val="top"/>
          </w:tcPr>
          <w:p>
            <w:r>
              <w:rPr>
                <w:sz w:val="17"/>
              </w:rPr>
              <w:t>314</w:t>
            </w:r>
          </w:p>
        </w:tc>
      </w:tr>
      <w:tr>
        <w:tc>
          <w:tcPr>
            <w:tcW w:type="dxa" w:w="2520"/>
            <w:vAlign w:val="top"/>
          </w:tcPr>
          <w:p>
            <w:r>
              <w:rPr>
                <w:sz w:val="17"/>
              </w:rPr>
              <w:t>MIN_EPOCH_SAMPLES</w:t>
            </w:r>
          </w:p>
        </w:tc>
        <w:tc>
          <w:tcPr>
            <w:tcW w:type="dxa" w:w="2520"/>
            <w:vAlign w:val="top"/>
          </w:tcPr>
          <w:p>
            <w:r>
              <w:rPr>
                <w:sz w:val="17"/>
              </w:rPr>
              <w:t>5</w:t>
            </w:r>
          </w:p>
        </w:tc>
        <w:tc>
          <w:tcPr>
            <w:tcW w:type="dxa" w:w="2520"/>
            <w:vAlign w:val="top"/>
          </w:tcPr>
          <w:p>
            <w:r>
              <w:rPr>
                <w:sz w:val="17"/>
              </w:rPr>
              <w:t>Minimum samples required for a valid local RFD fit.</w:t>
            </w:r>
          </w:p>
        </w:tc>
        <w:tc>
          <w:tcPr>
            <w:tcW w:type="dxa" w:w="2520"/>
            <w:vAlign w:val="top"/>
          </w:tcPr>
          <w:p>
            <w:r>
              <w:rPr>
                <w:sz w:val="17"/>
              </w:rPr>
              <w:t>322</w:t>
            </w:r>
          </w:p>
        </w:tc>
      </w:tr>
      <w:tr>
        <w:tc>
          <w:tcPr>
            <w:tcW w:type="dxa" w:w="2520"/>
            <w:vAlign w:val="top"/>
          </w:tcPr>
          <w:p>
            <w:r>
              <w:rPr>
                <w:sz w:val="17"/>
              </w:rPr>
              <w:t>PEAK_RFD_WINDOW_S</w:t>
            </w:r>
          </w:p>
        </w:tc>
        <w:tc>
          <w:tcPr>
            <w:tcW w:type="dxa" w:w="2520"/>
            <w:vAlign w:val="top"/>
          </w:tcPr>
          <w:p>
            <w:r>
              <w:rPr>
                <w:sz w:val="17"/>
              </w:rPr>
              <w:t>0.04</w:t>
            </w:r>
          </w:p>
        </w:tc>
        <w:tc>
          <w:tcPr>
            <w:tcW w:type="dxa" w:w="2520"/>
            <w:vAlign w:val="top"/>
          </w:tcPr>
          <w:p>
            <w:r>
              <w:rPr>
                <w:sz w:val="17"/>
              </w:rPr>
              <w:t>Sliding window used for descriptive peak RFD.</w:t>
            </w:r>
          </w:p>
        </w:tc>
        <w:tc>
          <w:tcPr>
            <w:tcW w:type="dxa" w:w="2520"/>
            <w:vAlign w:val="top"/>
          </w:tcPr>
          <w:p>
            <w:r>
              <w:rPr>
                <w:sz w:val="17"/>
              </w:rPr>
              <w:t>325</w:t>
            </w:r>
          </w:p>
        </w:tc>
      </w:tr>
      <w:tr>
        <w:tc>
          <w:tcPr>
            <w:tcW w:type="dxa" w:w="2520"/>
            <w:vAlign w:val="top"/>
          </w:tcPr>
          <w:p>
            <w:r>
              <w:rPr>
                <w:sz w:val="17"/>
              </w:rPr>
              <w:t>FORCE_TIMEPOINTS_FROM_ONSET_S</w:t>
            </w:r>
          </w:p>
        </w:tc>
        <w:tc>
          <w:tcPr>
            <w:tcW w:type="dxa" w:w="2520"/>
            <w:vAlign w:val="top"/>
          </w:tcPr>
          <w:p>
            <w:r>
              <w:rPr>
                <w:sz w:val="17"/>
              </w:rPr>
              <w:t>(0.05, 0.10, 0.15, 0.20, 0.30, 0.40)</w:t>
            </w:r>
          </w:p>
        </w:tc>
        <w:tc>
          <w:tcPr>
            <w:tcW w:type="dxa" w:w="2520"/>
            <w:vAlign w:val="top"/>
          </w:tcPr>
          <w:p>
            <w:r>
              <w:rPr>
                <w:sz w:val="17"/>
              </w:rPr>
              <w:t>Onset-relative times at which force is recorded post hoc.</w:t>
            </w:r>
          </w:p>
        </w:tc>
        <w:tc>
          <w:tcPr>
            <w:tcW w:type="dxa" w:w="2520"/>
            <w:vAlign w:val="top"/>
          </w:tcPr>
          <w:p>
            <w:r>
              <w:rPr>
                <w:sz w:val="17"/>
              </w:rPr>
              <w:t>328</w:t>
            </w:r>
          </w:p>
        </w:tc>
      </w:tr>
      <w:tr>
        <w:tc>
          <w:tcPr>
            <w:tcW w:type="dxa" w:w="2520"/>
            <w:vAlign w:val="top"/>
          </w:tcPr>
          <w:p>
            <w:r>
              <w:rPr>
                <w:sz w:val="17"/>
              </w:rPr>
              <w:t>MIN_SLOPE_SAMPLES</w:t>
            </w:r>
          </w:p>
        </w:tc>
        <w:tc>
          <w:tcPr>
            <w:tcW w:type="dxa" w:w="2520"/>
            <w:vAlign w:val="top"/>
          </w:tcPr>
          <w:p>
            <w:r>
              <w:rPr>
                <w:sz w:val="17"/>
              </w:rPr>
              <w:t>10</w:t>
            </w:r>
          </w:p>
        </w:tc>
        <w:tc>
          <w:tcPr>
            <w:tcW w:type="dxa" w:w="2520"/>
            <w:vAlign w:val="top"/>
          </w:tcPr>
          <w:p>
            <w:r>
              <w:rPr>
                <w:sz w:val="17"/>
              </w:rPr>
              <w:t>Minimum samples for diagnostic running local-slope calculation.</w:t>
            </w:r>
          </w:p>
        </w:tc>
        <w:tc>
          <w:tcPr>
            <w:tcW w:type="dxa" w:w="2520"/>
            <w:vAlign w:val="top"/>
          </w:tcPr>
          <w:p>
            <w:r>
              <w:rPr>
                <w:sz w:val="17"/>
              </w:rPr>
              <w:t>340</w:t>
            </w:r>
          </w:p>
        </w:tc>
      </w:tr>
    </w:tbl>
    <w:p>
      <w:pPr>
        <w:pStyle w:val="Heading2"/>
      </w:pPr>
      <w:r>
        <w:t>Plot axes and rates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PLOT_TIME_FROM_GO_S</w:t>
            </w:r>
          </w:p>
        </w:tc>
        <w:tc>
          <w:tcPr>
            <w:tcW w:type="dxa" w:w="2520"/>
            <w:vAlign w:val="top"/>
          </w:tcPr>
          <w:p>
            <w:r>
              <w:rPr>
                <w:sz w:val="17"/>
              </w:rPr>
              <w:t>(-0.2, 2.0)</w:t>
            </w:r>
          </w:p>
        </w:tc>
        <w:tc>
          <w:tcPr>
            <w:tcW w:type="dxa" w:w="2520"/>
            <w:vAlign w:val="top"/>
          </w:tcPr>
          <w:p>
            <w:r>
              <w:rPr>
                <w:sz w:val="17"/>
              </w:rPr>
              <w:t>Default x-axis range for GO-aligned trial figures.</w:t>
            </w:r>
          </w:p>
        </w:tc>
        <w:tc>
          <w:tcPr>
            <w:tcW w:type="dxa" w:w="2520"/>
            <w:vAlign w:val="top"/>
          </w:tcPr>
          <w:p>
            <w:r>
              <w:rPr>
                <w:sz w:val="17"/>
              </w:rPr>
              <w:t>376</w:t>
            </w:r>
          </w:p>
        </w:tc>
      </w:tr>
      <w:tr>
        <w:tc>
          <w:tcPr>
            <w:tcW w:type="dxa" w:w="2520"/>
            <w:vAlign w:val="top"/>
          </w:tcPr>
          <w:p>
            <w:r>
              <w:rPr>
                <w:sz w:val="17"/>
              </w:rPr>
              <w:t>PLOT_TIME_FROM_ONSET_S</w:t>
            </w:r>
          </w:p>
        </w:tc>
        <w:tc>
          <w:tcPr>
            <w:tcW w:type="dxa" w:w="2520"/>
            <w:vAlign w:val="top"/>
          </w:tcPr>
          <w:p>
            <w:r>
              <w:rPr>
                <w:sz w:val="17"/>
              </w:rPr>
              <w:t>(-0.2, 1.5)</w:t>
            </w:r>
          </w:p>
        </w:tc>
        <w:tc>
          <w:tcPr>
            <w:tcW w:type="dxa" w:w="2520"/>
            <w:vAlign w:val="top"/>
          </w:tcPr>
          <w:p>
            <w:r>
              <w:rPr>
                <w:sz w:val="17"/>
              </w:rPr>
              <w:t>Default x-axis range for onset-aligned figures.</w:t>
            </w:r>
          </w:p>
        </w:tc>
        <w:tc>
          <w:tcPr>
            <w:tcW w:type="dxa" w:w="2520"/>
            <w:vAlign w:val="top"/>
          </w:tcPr>
          <w:p>
            <w:r>
              <w:rPr>
                <w:sz w:val="17"/>
              </w:rPr>
              <w:t>379</w:t>
            </w:r>
          </w:p>
        </w:tc>
      </w:tr>
      <w:tr>
        <w:tc>
          <w:tcPr>
            <w:tcW w:type="dxa" w:w="2520"/>
            <w:vAlign w:val="top"/>
          </w:tcPr>
          <w:p>
            <w:r>
              <w:rPr>
                <w:sz w:val="17"/>
              </w:rPr>
              <w:t>PLOT_FORCE_LIMITS</w:t>
            </w:r>
          </w:p>
        </w:tc>
        <w:tc>
          <w:tcPr>
            <w:tcW w:type="dxa" w:w="2520"/>
            <w:vAlign w:val="top"/>
          </w:tcPr>
          <w:p>
            <w:r>
              <w:rPr>
                <w:sz w:val="17"/>
              </w:rPr>
              <w:t>(-0.10, 1.5)</w:t>
            </w:r>
          </w:p>
        </w:tc>
        <w:tc>
          <w:tcPr>
            <w:tcW w:type="dxa" w:w="2520"/>
            <w:vAlign w:val="top"/>
          </w:tcPr>
          <w:p>
            <w:r>
              <w:rPr>
                <w:sz w:val="17"/>
              </w:rPr>
              <w:t>Shared force-axis limits.</w:t>
            </w:r>
          </w:p>
        </w:tc>
        <w:tc>
          <w:tcPr>
            <w:tcW w:type="dxa" w:w="2520"/>
            <w:vAlign w:val="top"/>
          </w:tcPr>
          <w:p>
            <w:r>
              <w:rPr>
                <w:sz w:val="17"/>
              </w:rPr>
              <w:t>382</w:t>
            </w:r>
          </w:p>
        </w:tc>
      </w:tr>
      <w:tr>
        <w:tc>
          <w:tcPr>
            <w:tcW w:type="dxa" w:w="2520"/>
            <w:vAlign w:val="top"/>
          </w:tcPr>
          <w:p>
            <w:r>
              <w:rPr>
                <w:sz w:val="17"/>
              </w:rPr>
              <w:t>PLOT_RFD_LIMITS</w:t>
            </w:r>
          </w:p>
        </w:tc>
        <w:tc>
          <w:tcPr>
            <w:tcW w:type="dxa" w:w="2520"/>
            <w:vAlign w:val="top"/>
          </w:tcPr>
          <w:p>
            <w:r>
              <w:rPr>
                <w:sz w:val="17"/>
              </w:rPr>
              <w:t>(-15.0, 15.0)</w:t>
            </w:r>
          </w:p>
        </w:tc>
        <w:tc>
          <w:tcPr>
            <w:tcW w:type="dxa" w:w="2520"/>
            <w:vAlign w:val="top"/>
          </w:tcPr>
          <w:p>
            <w:r>
              <w:rPr>
                <w:sz w:val="17"/>
              </w:rPr>
              <w:t>Shared RFD-axis limits.</w:t>
            </w:r>
          </w:p>
        </w:tc>
        <w:tc>
          <w:tcPr>
            <w:tcW w:type="dxa" w:w="2520"/>
            <w:vAlign w:val="top"/>
          </w:tcPr>
          <w:p>
            <w:r>
              <w:rPr>
                <w:sz w:val="17"/>
              </w:rPr>
              <w:t>385</w:t>
            </w:r>
          </w:p>
        </w:tc>
      </w:tr>
      <w:tr>
        <w:tc>
          <w:tcPr>
            <w:tcW w:type="dxa" w:w="2520"/>
            <w:vAlign w:val="top"/>
          </w:tcPr>
          <w:p>
            <w:r>
              <w:rPr>
                <w:sz w:val="17"/>
              </w:rPr>
              <w:t>PLOT_TRIAL_RFD_LIMITS</w:t>
            </w:r>
          </w:p>
        </w:tc>
        <w:tc>
          <w:tcPr>
            <w:tcW w:type="dxa" w:w="2520"/>
            <w:vAlign w:val="top"/>
          </w:tcPr>
          <w:p>
            <w:r>
              <w:rPr>
                <w:sz w:val="17"/>
              </w:rPr>
              <w:t>None</w:t>
            </w:r>
          </w:p>
        </w:tc>
        <w:tc>
          <w:tcPr>
            <w:tcW w:type="dxa" w:w="2520"/>
            <w:vAlign w:val="top"/>
          </w:tcPr>
          <w:p>
            <w:r>
              <w:rPr>
                <w:sz w:val="17"/>
              </w:rPr>
              <w:t>Optional session-level trial RFD axis override.</w:t>
            </w:r>
          </w:p>
        </w:tc>
        <w:tc>
          <w:tcPr>
            <w:tcW w:type="dxa" w:w="2520"/>
            <w:vAlign w:val="top"/>
          </w:tcPr>
          <w:p>
            <w:r>
              <w:rPr>
                <w:sz w:val="17"/>
              </w:rPr>
              <w:t>388</w:t>
            </w:r>
          </w:p>
        </w:tc>
      </w:tr>
      <w:tr>
        <w:tc>
          <w:tcPr>
            <w:tcW w:type="dxa" w:w="2520"/>
            <w:vAlign w:val="top"/>
          </w:tcPr>
          <w:p>
            <w:r>
              <w:rPr>
                <w:sz w:val="17"/>
              </w:rPr>
              <w:t>PLOT_FONT_SIZE</w:t>
            </w:r>
          </w:p>
        </w:tc>
        <w:tc>
          <w:tcPr>
            <w:tcW w:type="dxa" w:w="2520"/>
            <w:vAlign w:val="top"/>
          </w:tcPr>
          <w:p>
            <w:r>
              <w:rPr>
                <w:sz w:val="17"/>
              </w:rPr>
              <w:t>20</w:t>
            </w:r>
          </w:p>
        </w:tc>
        <w:tc>
          <w:tcPr>
            <w:tcW w:type="dxa" w:w="2520"/>
            <w:vAlign w:val="top"/>
          </w:tcPr>
          <w:p>
            <w:r>
              <w:rPr>
                <w:sz w:val="17"/>
              </w:rPr>
              <w:t>Plot axis-label font size.</w:t>
            </w:r>
          </w:p>
        </w:tc>
        <w:tc>
          <w:tcPr>
            <w:tcW w:type="dxa" w:w="2520"/>
            <w:vAlign w:val="top"/>
          </w:tcPr>
          <w:p>
            <w:r>
              <w:rPr>
                <w:sz w:val="17"/>
              </w:rPr>
              <w:t>391</w:t>
            </w:r>
          </w:p>
        </w:tc>
      </w:tr>
      <w:tr>
        <w:tc>
          <w:tcPr>
            <w:tcW w:type="dxa" w:w="2520"/>
            <w:vAlign w:val="top"/>
          </w:tcPr>
          <w:p>
            <w:r>
              <w:rPr>
                <w:sz w:val="17"/>
              </w:rPr>
              <w:t>PLOT_TICK_SIZE</w:t>
            </w:r>
          </w:p>
        </w:tc>
        <w:tc>
          <w:tcPr>
            <w:tcW w:type="dxa" w:w="2520"/>
            <w:vAlign w:val="top"/>
          </w:tcPr>
          <w:p>
            <w:r>
              <w:rPr>
                <w:sz w:val="17"/>
              </w:rPr>
              <w:t>15</w:t>
            </w:r>
          </w:p>
        </w:tc>
        <w:tc>
          <w:tcPr>
            <w:tcW w:type="dxa" w:w="2520"/>
            <w:vAlign w:val="top"/>
          </w:tcPr>
          <w:p>
            <w:r>
              <w:rPr>
                <w:sz w:val="17"/>
              </w:rPr>
              <w:t>Plot tick-label size.</w:t>
            </w:r>
          </w:p>
        </w:tc>
        <w:tc>
          <w:tcPr>
            <w:tcW w:type="dxa" w:w="2520"/>
            <w:vAlign w:val="top"/>
          </w:tcPr>
          <w:p>
            <w:r>
              <w:rPr>
                <w:sz w:val="17"/>
              </w:rPr>
              <w:t>392</w:t>
            </w:r>
          </w:p>
        </w:tc>
      </w:tr>
      <w:tr>
        <w:tc>
          <w:tcPr>
            <w:tcW w:type="dxa" w:w="2520"/>
            <w:vAlign w:val="top"/>
          </w:tcPr>
          <w:p>
            <w:r>
              <w:rPr>
                <w:sz w:val="17"/>
              </w:rPr>
              <w:t>PLOT_TITLE_SIZE</w:t>
            </w:r>
          </w:p>
        </w:tc>
        <w:tc>
          <w:tcPr>
            <w:tcW w:type="dxa" w:w="2520"/>
            <w:vAlign w:val="top"/>
          </w:tcPr>
          <w:p>
            <w:r>
              <w:rPr>
                <w:sz w:val="17"/>
              </w:rPr>
              <w:t>20</w:t>
            </w:r>
          </w:p>
        </w:tc>
        <w:tc>
          <w:tcPr>
            <w:tcW w:type="dxa" w:w="2520"/>
            <w:vAlign w:val="top"/>
          </w:tcPr>
          <w:p>
            <w:r>
              <w:rPr>
                <w:sz w:val="17"/>
              </w:rPr>
              <w:t>Plot title size.</w:t>
            </w:r>
          </w:p>
        </w:tc>
        <w:tc>
          <w:tcPr>
            <w:tcW w:type="dxa" w:w="2520"/>
            <w:vAlign w:val="top"/>
          </w:tcPr>
          <w:p>
            <w:r>
              <w:rPr>
                <w:sz w:val="17"/>
              </w:rPr>
              <w:t>393</w:t>
            </w:r>
          </w:p>
        </w:tc>
      </w:tr>
      <w:tr>
        <w:tc>
          <w:tcPr>
            <w:tcW w:type="dxa" w:w="2520"/>
            <w:vAlign w:val="top"/>
          </w:tcPr>
          <w:p>
            <w:r>
              <w:rPr>
                <w:sz w:val="17"/>
              </w:rPr>
              <w:t>PLOT_LEGEND_SIZE</w:t>
            </w:r>
          </w:p>
        </w:tc>
        <w:tc>
          <w:tcPr>
            <w:tcW w:type="dxa" w:w="2520"/>
            <w:vAlign w:val="top"/>
          </w:tcPr>
          <w:p>
            <w:r>
              <w:rPr>
                <w:sz w:val="17"/>
              </w:rPr>
              <w:t>14</w:t>
            </w:r>
          </w:p>
        </w:tc>
        <w:tc>
          <w:tcPr>
            <w:tcW w:type="dxa" w:w="2520"/>
            <w:vAlign w:val="top"/>
          </w:tcPr>
          <w:p>
            <w:r>
              <w:rPr>
                <w:sz w:val="17"/>
              </w:rPr>
              <w:t>Plot legend size.</w:t>
            </w:r>
          </w:p>
        </w:tc>
        <w:tc>
          <w:tcPr>
            <w:tcW w:type="dxa" w:w="2520"/>
            <w:vAlign w:val="top"/>
          </w:tcPr>
          <w:p>
            <w:r>
              <w:rPr>
                <w:sz w:val="17"/>
              </w:rPr>
              <w:t>394</w:t>
            </w:r>
          </w:p>
        </w:tc>
      </w:tr>
      <w:tr>
        <w:tc>
          <w:tcPr>
            <w:tcW w:type="dxa" w:w="2520"/>
            <w:vAlign w:val="top"/>
          </w:tcPr>
          <w:p>
            <w:r>
              <w:rPr>
                <w:sz w:val="17"/>
              </w:rPr>
              <w:t>PLOT_FONT_WEIGHT</w:t>
            </w:r>
          </w:p>
        </w:tc>
        <w:tc>
          <w:tcPr>
            <w:tcW w:type="dxa" w:w="2520"/>
            <w:vAlign w:val="top"/>
          </w:tcPr>
          <w:p>
            <w:r>
              <w:rPr>
                <w:sz w:val="17"/>
              </w:rPr>
              <w:t>"bold"</w:t>
            </w:r>
          </w:p>
        </w:tc>
        <w:tc>
          <w:tcPr>
            <w:tcW w:type="dxa" w:w="2520"/>
            <w:vAlign w:val="top"/>
          </w:tcPr>
          <w:p>
            <w:r>
              <w:rPr>
                <w:sz w:val="17"/>
              </w:rPr>
              <w:t>Plot font weight.</w:t>
            </w:r>
          </w:p>
        </w:tc>
        <w:tc>
          <w:tcPr>
            <w:tcW w:type="dxa" w:w="2520"/>
            <w:vAlign w:val="top"/>
          </w:tcPr>
          <w:p>
            <w:r>
              <w:rPr>
                <w:sz w:val="17"/>
              </w:rPr>
              <w:t>395</w:t>
            </w:r>
          </w:p>
        </w:tc>
      </w:tr>
      <w:tr>
        <w:tc>
          <w:tcPr>
            <w:tcW w:type="dxa" w:w="2520"/>
            <w:vAlign w:val="top"/>
          </w:tcPr>
          <w:p>
            <w:r>
              <w:rPr>
                <w:sz w:val="17"/>
              </w:rPr>
              <w:t>FPS</w:t>
            </w:r>
          </w:p>
        </w:tc>
        <w:tc>
          <w:tcPr>
            <w:tcW w:type="dxa" w:w="2520"/>
            <w:vAlign w:val="top"/>
          </w:tcPr>
          <w:p>
            <w:r>
              <w:rPr>
                <w:sz w:val="17"/>
              </w:rPr>
              <w:t>64</w:t>
            </w:r>
          </w:p>
        </w:tc>
        <w:tc>
          <w:tcPr>
            <w:tcW w:type="dxa" w:w="2520"/>
            <w:vAlign w:val="top"/>
          </w:tcPr>
          <w:p>
            <w:r>
              <w:rPr>
                <w:sz w:val="17"/>
              </w:rPr>
              <w:t>Display refresh target; independent of force sampling.</w:t>
            </w:r>
          </w:p>
        </w:tc>
        <w:tc>
          <w:tcPr>
            <w:tcW w:type="dxa" w:w="2520"/>
            <w:vAlign w:val="top"/>
          </w:tcPr>
          <w:p>
            <w:r>
              <w:rPr>
                <w:sz w:val="17"/>
              </w:rPr>
              <w:t>402</w:t>
            </w:r>
          </w:p>
        </w:tc>
      </w:tr>
      <w:tr>
        <w:tc>
          <w:tcPr>
            <w:tcW w:type="dxa" w:w="2520"/>
            <w:vAlign w:val="top"/>
          </w:tcPr>
          <w:p>
            <w:r>
              <w:rPr>
                <w:sz w:val="17"/>
              </w:rPr>
              <w:t>SAMPLING_RATE_HZ</w:t>
            </w:r>
          </w:p>
        </w:tc>
        <w:tc>
          <w:tcPr>
            <w:tcW w:type="dxa" w:w="2520"/>
            <w:vAlign w:val="top"/>
          </w:tcPr>
          <w:p>
            <w:r>
              <w:rPr>
                <w:sz w:val="17"/>
              </w:rPr>
              <w:t>500</w:t>
            </w:r>
          </w:p>
        </w:tc>
        <w:tc>
          <w:tcPr>
            <w:tcW w:type="dxa" w:w="2520"/>
            <w:vAlign w:val="top"/>
          </w:tcPr>
          <w:p>
            <w:r>
              <w:rPr>
                <w:sz w:val="17"/>
              </w:rPr>
              <w:t>Nominal force acquisition frequency.</w:t>
            </w:r>
          </w:p>
        </w:tc>
        <w:tc>
          <w:tcPr>
            <w:tcW w:type="dxa" w:w="2520"/>
            <w:vAlign w:val="top"/>
          </w:tcPr>
          <w:p>
            <w:r>
              <w:rPr>
                <w:sz w:val="17"/>
              </w:rPr>
              <w:t>403</w:t>
            </w:r>
          </w:p>
        </w:tc>
      </w:tr>
    </w:tbl>
    <w:p>
      <w:pPr>
        <w:pStyle w:val="Heading2"/>
      </w:pPr>
      <w:r>
        <w:t>Target and display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TARGET_DISPLAY_MODE</w:t>
            </w:r>
          </w:p>
        </w:tc>
        <w:tc>
          <w:tcPr>
            <w:tcW w:type="dxa" w:w="2520"/>
            <w:vAlign w:val="top"/>
          </w:tcPr>
          <w:p>
            <w:r>
              <w:rPr>
                <w:sz w:val="17"/>
              </w:rPr>
              <w:t>"RIGHT_ONLY"</w:t>
            </w:r>
          </w:p>
        </w:tc>
        <w:tc>
          <w:tcPr>
            <w:tcW w:type="dxa" w:w="2520"/>
            <w:vAlign w:val="top"/>
          </w:tcPr>
          <w:p>
            <w:r>
              <w:rPr>
                <w:sz w:val="17"/>
              </w:rPr>
              <w:t>Target presentation mode; right-only in this version.</w:t>
            </w:r>
          </w:p>
        </w:tc>
        <w:tc>
          <w:tcPr>
            <w:tcW w:type="dxa" w:w="2520"/>
            <w:vAlign w:val="top"/>
          </w:tcPr>
          <w:p>
            <w:r>
              <w:rPr>
                <w:sz w:val="17"/>
              </w:rPr>
              <w:t>411</w:t>
            </w:r>
          </w:p>
        </w:tc>
      </w:tr>
      <w:tr>
        <w:tc>
          <w:tcPr>
            <w:tcW w:type="dxa" w:w="2520"/>
            <w:vAlign w:val="top"/>
          </w:tcPr>
          <w:p>
            <w:r>
              <w:rPr>
                <w:sz w:val="17"/>
              </w:rPr>
              <w:t>TARGET_FORCE_LEVEL</w:t>
            </w:r>
          </w:p>
        </w:tc>
        <w:tc>
          <w:tcPr>
            <w:tcW w:type="dxa" w:w="2520"/>
            <w:vAlign w:val="top"/>
          </w:tcPr>
          <w:p>
            <w:r>
              <w:rPr>
                <w:sz w:val="17"/>
              </w:rPr>
              <w:t>0.85</w:t>
            </w:r>
          </w:p>
        </w:tc>
        <w:tc>
          <w:tcPr>
            <w:tcW w:type="dxa" w:w="2520"/>
            <w:vAlign w:val="top"/>
          </w:tcPr>
          <w:p>
            <w:r>
              <w:rPr>
                <w:sz w:val="17"/>
              </w:rPr>
              <w:t>Center of target box in MVC fraction.</w:t>
            </w:r>
          </w:p>
        </w:tc>
        <w:tc>
          <w:tcPr>
            <w:tcW w:type="dxa" w:w="2520"/>
            <w:vAlign w:val="top"/>
          </w:tcPr>
          <w:p>
            <w:r>
              <w:rPr>
                <w:sz w:val="17"/>
              </w:rPr>
              <w:t>414</w:t>
            </w:r>
          </w:p>
        </w:tc>
      </w:tr>
      <w:tr>
        <w:tc>
          <w:tcPr>
            <w:tcW w:type="dxa" w:w="2520"/>
            <w:vAlign w:val="top"/>
          </w:tcPr>
          <w:p>
            <w:r>
              <w:rPr>
                <w:sz w:val="17"/>
              </w:rPr>
              <w:t>TARGET_TOLERANCE</w:t>
            </w:r>
          </w:p>
        </w:tc>
        <w:tc>
          <w:tcPr>
            <w:tcW w:type="dxa" w:w="2520"/>
            <w:vAlign w:val="top"/>
          </w:tcPr>
          <w:p>
            <w:r>
              <w:rPr>
                <w:sz w:val="17"/>
              </w:rPr>
              <w:t>0.1</w:t>
            </w:r>
          </w:p>
        </w:tc>
        <w:tc>
          <w:tcPr>
            <w:tcW w:type="dxa" w:w="2520"/>
            <w:vAlign w:val="top"/>
          </w:tcPr>
          <w:p>
            <w:r>
              <w:rPr>
                <w:sz w:val="17"/>
              </w:rPr>
              <w:t>Half-width of target acceptance band in MVC fraction.</w:t>
            </w:r>
          </w:p>
        </w:tc>
        <w:tc>
          <w:tcPr>
            <w:tcW w:type="dxa" w:w="2520"/>
            <w:vAlign w:val="top"/>
          </w:tcPr>
          <w:p>
            <w:r>
              <w:rPr>
                <w:sz w:val="17"/>
              </w:rPr>
              <w:t>415</w:t>
            </w:r>
          </w:p>
        </w:tc>
      </w:tr>
      <w:tr>
        <w:tc>
          <w:tcPr>
            <w:tcW w:type="dxa" w:w="2520"/>
            <w:vAlign w:val="top"/>
          </w:tcPr>
          <w:p>
            <w:r>
              <w:rPr>
                <w:sz w:val="17"/>
              </w:rPr>
              <w:t>FORCE_TRIGGER_CEILING</w:t>
            </w:r>
          </w:p>
        </w:tc>
        <w:tc>
          <w:tcPr>
            <w:tcW w:type="dxa" w:w="2520"/>
            <w:vAlign w:val="top"/>
          </w:tcPr>
          <w:p>
            <w:r>
              <w:rPr>
                <w:sz w:val="17"/>
              </w:rPr>
              <w:t>TARGET_FORCE_LEVEL - TARGET_TOLERANCE</w:t>
            </w:r>
          </w:p>
        </w:tc>
        <w:tc>
          <w:tcPr>
            <w:tcW w:type="dxa" w:w="2520"/>
            <w:vAlign w:val="top"/>
          </w:tcPr>
          <w:p>
            <w:r>
              <w:rPr>
                <w:sz w:val="17"/>
              </w:rPr>
              <w:t>BELOW-mode high-force suppression boundary; target level minus tolerance.</w:t>
            </w:r>
          </w:p>
        </w:tc>
        <w:tc>
          <w:tcPr>
            <w:tcW w:type="dxa" w:w="2520"/>
            <w:vAlign w:val="top"/>
          </w:tcPr>
          <w:p>
            <w:r>
              <w:rPr>
                <w:sz w:val="17"/>
              </w:rPr>
              <w:t>419</w:t>
            </w:r>
          </w:p>
        </w:tc>
      </w:tr>
      <w:tr>
        <w:tc>
          <w:tcPr>
            <w:tcW w:type="dxa" w:w="2520"/>
            <w:vAlign w:val="top"/>
          </w:tcPr>
          <w:p>
            <w:r>
              <w:rPr>
                <w:sz w:val="17"/>
              </w:rPr>
              <w:t>FORCE_REFERENCE_MARGIN</w:t>
            </w:r>
          </w:p>
        </w:tc>
        <w:tc>
          <w:tcPr>
            <w:tcW w:type="dxa" w:w="2520"/>
            <w:vAlign w:val="top"/>
          </w:tcPr>
          <w:p>
            <w:r>
              <w:rPr>
                <w:sz w:val="17"/>
              </w:rPr>
              <w:t>0.10</w:t>
            </w:r>
          </w:p>
        </w:tc>
        <w:tc>
          <w:tcPr>
            <w:tcW w:type="dxa" w:w="2520"/>
            <w:vAlign w:val="top"/>
          </w:tcPr>
          <w:p>
            <w:r>
              <w:rPr>
                <w:sz w:val="17"/>
              </w:rPr>
              <w:t>Relative separation required from adaptive force reference.</w:t>
            </w:r>
          </w:p>
        </w:tc>
        <w:tc>
          <w:tcPr>
            <w:tcW w:type="dxa" w:w="2520"/>
            <w:vAlign w:val="top"/>
          </w:tcPr>
          <w:p>
            <w:r>
              <w:rPr>
                <w:sz w:val="17"/>
              </w:rPr>
              <w:t>422</w:t>
            </w:r>
          </w:p>
        </w:tc>
      </w:tr>
      <w:tr>
        <w:tc>
          <w:tcPr>
            <w:tcW w:type="dxa" w:w="2520"/>
            <w:vAlign w:val="top"/>
          </w:tcPr>
          <w:p>
            <w:r>
              <w:rPr>
                <w:sz w:val="17"/>
              </w:rPr>
              <w:t>RECT_WIDTH</w:t>
            </w:r>
          </w:p>
        </w:tc>
        <w:tc>
          <w:tcPr>
            <w:tcW w:type="dxa" w:w="2520"/>
            <w:vAlign w:val="top"/>
          </w:tcPr>
          <w:p>
            <w:r>
              <w:rPr>
                <w:sz w:val="17"/>
              </w:rPr>
              <w:t>300</w:t>
            </w:r>
          </w:p>
        </w:tc>
        <w:tc>
          <w:tcPr>
            <w:tcW w:type="dxa" w:w="2520"/>
            <w:vAlign w:val="top"/>
          </w:tcPr>
          <w:p>
            <w:r>
              <w:rPr>
                <w:sz w:val="17"/>
              </w:rPr>
              <w:t>Target rectangle width in pixels.</w:t>
            </w:r>
          </w:p>
        </w:tc>
        <w:tc>
          <w:tcPr>
            <w:tcW w:type="dxa" w:w="2520"/>
            <w:vAlign w:val="top"/>
          </w:tcPr>
          <w:p>
            <w:r>
              <w:rPr>
                <w:sz w:val="17"/>
              </w:rPr>
              <w:t>424</w:t>
            </w:r>
          </w:p>
        </w:tc>
      </w:tr>
      <w:tr>
        <w:tc>
          <w:tcPr>
            <w:tcW w:type="dxa" w:w="2520"/>
            <w:vAlign w:val="top"/>
          </w:tcPr>
          <w:p>
            <w:r>
              <w:rPr>
                <w:sz w:val="17"/>
              </w:rPr>
              <w:t>RECT_OUTLINE_WIDTH</w:t>
            </w:r>
          </w:p>
        </w:tc>
        <w:tc>
          <w:tcPr>
            <w:tcW w:type="dxa" w:w="2520"/>
            <w:vAlign w:val="top"/>
          </w:tcPr>
          <w:p>
            <w:r>
              <w:rPr>
                <w:sz w:val="17"/>
              </w:rPr>
              <w:t>6</w:t>
            </w:r>
          </w:p>
        </w:tc>
        <w:tc>
          <w:tcPr>
            <w:tcW w:type="dxa" w:w="2520"/>
            <w:vAlign w:val="top"/>
          </w:tcPr>
          <w:p>
            <w:r>
              <w:rPr>
                <w:sz w:val="17"/>
              </w:rPr>
              <w:t>Target outline thickness in pixels.</w:t>
            </w:r>
          </w:p>
        </w:tc>
        <w:tc>
          <w:tcPr>
            <w:tcW w:type="dxa" w:w="2520"/>
            <w:vAlign w:val="top"/>
          </w:tcPr>
          <w:p>
            <w:r>
              <w:rPr>
                <w:sz w:val="17"/>
              </w:rPr>
              <w:t>425</w:t>
            </w:r>
          </w:p>
        </w:tc>
      </w:tr>
      <w:tr>
        <w:tc>
          <w:tcPr>
            <w:tcW w:type="dxa" w:w="2520"/>
            <w:vAlign w:val="top"/>
          </w:tcPr>
          <w:p>
            <w:r>
              <w:rPr>
                <w:sz w:val="17"/>
              </w:rPr>
              <w:t>RANDOM_TARGET_MIN_FORCE</w:t>
            </w:r>
          </w:p>
        </w:tc>
        <w:tc>
          <w:tcPr>
            <w:tcW w:type="dxa" w:w="2520"/>
            <w:vAlign w:val="top"/>
          </w:tcPr>
          <w:p>
            <w:r>
              <w:rPr>
                <w:sz w:val="17"/>
              </w:rPr>
              <w:t>0.20</w:t>
            </w:r>
          </w:p>
        </w:tc>
        <w:tc>
          <w:tcPr>
            <w:tcW w:type="dxa" w:w="2520"/>
            <w:vAlign w:val="top"/>
          </w:tcPr>
          <w:p>
            <w:r>
              <w:rPr>
                <w:sz w:val="17"/>
              </w:rPr>
              <w:t>Lower force bound for random-target positioning helper.</w:t>
            </w:r>
          </w:p>
        </w:tc>
        <w:tc>
          <w:tcPr>
            <w:tcW w:type="dxa" w:w="2520"/>
            <w:vAlign w:val="top"/>
          </w:tcPr>
          <w:p>
            <w:r>
              <w:rPr>
                <w:sz w:val="17"/>
              </w:rPr>
              <w:t>429</w:t>
            </w:r>
          </w:p>
        </w:tc>
      </w:tr>
      <w:tr>
        <w:tc>
          <w:tcPr>
            <w:tcW w:type="dxa" w:w="2520"/>
            <w:vAlign w:val="top"/>
          </w:tcPr>
          <w:p>
            <w:r>
              <w:rPr>
                <w:sz w:val="17"/>
              </w:rPr>
              <w:t>RANDOM_TARGET_MAX_FORCE</w:t>
            </w:r>
          </w:p>
        </w:tc>
        <w:tc>
          <w:tcPr>
            <w:tcW w:type="dxa" w:w="2520"/>
            <w:vAlign w:val="top"/>
          </w:tcPr>
          <w:p>
            <w:r>
              <w:rPr>
                <w:sz w:val="17"/>
              </w:rPr>
              <w:t>0.70</w:t>
            </w:r>
          </w:p>
        </w:tc>
        <w:tc>
          <w:tcPr>
            <w:tcW w:type="dxa" w:w="2520"/>
            <w:vAlign w:val="top"/>
          </w:tcPr>
          <w:p>
            <w:r>
              <w:rPr>
                <w:sz w:val="17"/>
              </w:rPr>
              <w:t>Upper force bound for random-target positioning helper.</w:t>
            </w:r>
          </w:p>
        </w:tc>
        <w:tc>
          <w:tcPr>
            <w:tcW w:type="dxa" w:w="2520"/>
            <w:vAlign w:val="top"/>
          </w:tcPr>
          <w:p>
            <w:r>
              <w:rPr>
                <w:sz w:val="17"/>
              </w:rPr>
              <w:t>430</w:t>
            </w:r>
          </w:p>
        </w:tc>
      </w:tr>
      <w:tr>
        <w:tc>
          <w:tcPr>
            <w:tcW w:type="dxa" w:w="2520"/>
            <w:vAlign w:val="top"/>
          </w:tcPr>
          <w:p>
            <w:r>
              <w:rPr>
                <w:sz w:val="17"/>
              </w:rPr>
              <w:t>CURSOR_RADIUS</w:t>
            </w:r>
          </w:p>
        </w:tc>
        <w:tc>
          <w:tcPr>
            <w:tcW w:type="dxa" w:w="2520"/>
            <w:vAlign w:val="top"/>
          </w:tcPr>
          <w:p>
            <w:r>
              <w:rPr>
                <w:sz w:val="17"/>
              </w:rPr>
              <w:t>10</w:t>
            </w:r>
          </w:p>
        </w:tc>
        <w:tc>
          <w:tcPr>
            <w:tcW w:type="dxa" w:w="2520"/>
            <w:vAlign w:val="top"/>
          </w:tcPr>
          <w:p>
            <w:r>
              <w:rPr>
                <w:sz w:val="17"/>
              </w:rPr>
              <w:t>Force cursor radius in pixels.</w:t>
            </w:r>
          </w:p>
        </w:tc>
        <w:tc>
          <w:tcPr>
            <w:tcW w:type="dxa" w:w="2520"/>
            <w:vAlign w:val="top"/>
          </w:tcPr>
          <w:p>
            <w:r>
              <w:rPr>
                <w:sz w:val="17"/>
              </w:rPr>
              <w:t>437</w:t>
            </w:r>
          </w:p>
        </w:tc>
      </w:tr>
      <w:tr>
        <w:tc>
          <w:tcPr>
            <w:tcW w:type="dxa" w:w="2520"/>
            <w:vAlign w:val="top"/>
          </w:tcPr>
          <w:p>
            <w:r>
              <w:rPr>
                <w:sz w:val="17"/>
              </w:rPr>
              <w:t>CURSOR_OUTLINE_WIDTH</w:t>
            </w:r>
          </w:p>
        </w:tc>
        <w:tc>
          <w:tcPr>
            <w:tcW w:type="dxa" w:w="2520"/>
            <w:vAlign w:val="top"/>
          </w:tcPr>
          <w:p>
            <w:r>
              <w:rPr>
                <w:sz w:val="17"/>
              </w:rPr>
              <w:t>4</w:t>
            </w:r>
          </w:p>
        </w:tc>
        <w:tc>
          <w:tcPr>
            <w:tcW w:type="dxa" w:w="2520"/>
            <w:vAlign w:val="top"/>
          </w:tcPr>
          <w:p>
            <w:r>
              <w:rPr>
                <w:sz w:val="17"/>
              </w:rPr>
              <w:t>Force cursor outline thickness.</w:t>
            </w:r>
          </w:p>
        </w:tc>
        <w:tc>
          <w:tcPr>
            <w:tcW w:type="dxa" w:w="2520"/>
            <w:vAlign w:val="top"/>
          </w:tcPr>
          <w:p>
            <w:r>
              <w:rPr>
                <w:sz w:val="17"/>
              </w:rPr>
              <w:t>438</w:t>
            </w:r>
          </w:p>
        </w:tc>
      </w:tr>
      <w:tr>
        <w:tc>
          <w:tcPr>
            <w:tcW w:type="dxa" w:w="2520"/>
            <w:vAlign w:val="top"/>
          </w:tcPr>
          <w:p>
            <w:r>
              <w:rPr>
                <w:sz w:val="17"/>
              </w:rPr>
              <w:t>CURSOR_COLOR</w:t>
            </w:r>
          </w:p>
        </w:tc>
        <w:tc>
          <w:tcPr>
            <w:tcW w:type="dxa" w:w="2520"/>
            <w:vAlign w:val="top"/>
          </w:tcPr>
          <w:p>
            <w:r>
              <w:rPr>
                <w:sz w:val="17"/>
              </w:rPr>
              <w:t>(255, 255, 0)</w:t>
            </w:r>
          </w:p>
        </w:tc>
        <w:tc>
          <w:tcPr>
            <w:tcW w:type="dxa" w:w="2520"/>
            <w:vAlign w:val="top"/>
          </w:tcPr>
          <w:p>
            <w:r>
              <w:rPr>
                <w:sz w:val="17"/>
              </w:rPr>
              <w:t>RGB fill color for force cursor.</w:t>
            </w:r>
          </w:p>
        </w:tc>
        <w:tc>
          <w:tcPr>
            <w:tcW w:type="dxa" w:w="2520"/>
            <w:vAlign w:val="top"/>
          </w:tcPr>
          <w:p>
            <w:r>
              <w:rPr>
                <w:sz w:val="17"/>
              </w:rPr>
              <w:t>440</w:t>
            </w:r>
          </w:p>
        </w:tc>
      </w:tr>
      <w:tr>
        <w:tc>
          <w:tcPr>
            <w:tcW w:type="dxa" w:w="2520"/>
            <w:vAlign w:val="top"/>
          </w:tcPr>
          <w:p>
            <w:r>
              <w:rPr>
                <w:sz w:val="17"/>
              </w:rPr>
              <w:t>CURSOR_OUTLINE_COLOR</w:t>
            </w:r>
          </w:p>
        </w:tc>
        <w:tc>
          <w:tcPr>
            <w:tcW w:type="dxa" w:w="2520"/>
            <w:vAlign w:val="top"/>
          </w:tcPr>
          <w:p>
            <w:r>
              <w:rPr>
                <w:sz w:val="17"/>
              </w:rPr>
              <w:t>(255, 255, 255)</w:t>
            </w:r>
          </w:p>
        </w:tc>
        <w:tc>
          <w:tcPr>
            <w:tcW w:type="dxa" w:w="2520"/>
            <w:vAlign w:val="top"/>
          </w:tcPr>
          <w:p>
            <w:r>
              <w:rPr>
                <w:sz w:val="17"/>
              </w:rPr>
              <w:t>RGB outline color for force cursor.</w:t>
            </w:r>
          </w:p>
        </w:tc>
        <w:tc>
          <w:tcPr>
            <w:tcW w:type="dxa" w:w="2520"/>
            <w:vAlign w:val="top"/>
          </w:tcPr>
          <w:p>
            <w:r>
              <w:rPr>
                <w:sz w:val="17"/>
              </w:rPr>
              <w:t>441</w:t>
            </w:r>
          </w:p>
        </w:tc>
      </w:tr>
      <w:tr>
        <w:tc>
          <w:tcPr>
            <w:tcW w:type="dxa" w:w="2520"/>
            <w:vAlign w:val="top"/>
          </w:tcPr>
          <w:p>
            <w:r>
              <w:rPr>
                <w:sz w:val="17"/>
              </w:rPr>
              <w:t>CURSOR_TRACK_WIDTH</w:t>
            </w:r>
          </w:p>
        </w:tc>
        <w:tc>
          <w:tcPr>
            <w:tcW w:type="dxa" w:w="2520"/>
            <w:vAlign w:val="top"/>
          </w:tcPr>
          <w:p>
            <w:r>
              <w:rPr>
                <w:sz w:val="17"/>
              </w:rPr>
              <w:t>4</w:t>
            </w:r>
          </w:p>
        </w:tc>
        <w:tc>
          <w:tcPr>
            <w:tcW w:type="dxa" w:w="2520"/>
            <w:vAlign w:val="top"/>
          </w:tcPr>
          <w:p>
            <w:r>
              <w:rPr>
                <w:sz w:val="17"/>
              </w:rPr>
              <w:t>Vertical guide-rail width.</w:t>
            </w:r>
          </w:p>
        </w:tc>
        <w:tc>
          <w:tcPr>
            <w:tcW w:type="dxa" w:w="2520"/>
            <w:vAlign w:val="top"/>
          </w:tcPr>
          <w:p>
            <w:r>
              <w:rPr>
                <w:sz w:val="17"/>
              </w:rPr>
              <w:t>444</w:t>
            </w:r>
          </w:p>
        </w:tc>
      </w:tr>
      <w:tr>
        <w:tc>
          <w:tcPr>
            <w:tcW w:type="dxa" w:w="2520"/>
            <w:vAlign w:val="top"/>
          </w:tcPr>
          <w:p>
            <w:r>
              <w:rPr>
                <w:sz w:val="17"/>
              </w:rPr>
              <w:t>CURSOR_TRACK_COLOR</w:t>
            </w:r>
          </w:p>
        </w:tc>
        <w:tc>
          <w:tcPr>
            <w:tcW w:type="dxa" w:w="2520"/>
            <w:vAlign w:val="top"/>
          </w:tcPr>
          <w:p>
            <w:r>
              <w:rPr>
                <w:sz w:val="17"/>
              </w:rPr>
              <w:t>(45, 45, 45)</w:t>
            </w:r>
          </w:p>
        </w:tc>
        <w:tc>
          <w:tcPr>
            <w:tcW w:type="dxa" w:w="2520"/>
            <w:vAlign w:val="top"/>
          </w:tcPr>
          <w:p>
            <w:r>
              <w:rPr>
                <w:sz w:val="17"/>
              </w:rPr>
              <w:t>RGB guide-rail color.</w:t>
            </w:r>
          </w:p>
        </w:tc>
        <w:tc>
          <w:tcPr>
            <w:tcW w:type="dxa" w:w="2520"/>
            <w:vAlign w:val="top"/>
          </w:tcPr>
          <w:p>
            <w:r>
              <w:rPr>
                <w:sz w:val="17"/>
              </w:rPr>
              <w:t>445</w:t>
            </w:r>
          </w:p>
        </w:tc>
      </w:tr>
      <w:tr>
        <w:tc>
          <w:tcPr>
            <w:tcW w:type="dxa" w:w="2520"/>
            <w:vAlign w:val="top"/>
          </w:tcPr>
          <w:p>
            <w:r>
              <w:rPr>
                <w:sz w:val="17"/>
              </w:rPr>
              <w:t>LOADBAR_WIDTH</w:t>
            </w:r>
          </w:p>
        </w:tc>
        <w:tc>
          <w:tcPr>
            <w:tcW w:type="dxa" w:w="2520"/>
            <w:vAlign w:val="top"/>
          </w:tcPr>
          <w:p>
            <w:r>
              <w:rPr>
                <w:sz w:val="17"/>
              </w:rPr>
              <w:t>40</w:t>
            </w:r>
          </w:p>
        </w:tc>
        <w:tc>
          <w:tcPr>
            <w:tcW w:type="dxa" w:w="2520"/>
            <w:vAlign w:val="top"/>
          </w:tcPr>
          <w:p>
            <w:r>
              <w:rPr>
                <w:sz w:val="17"/>
              </w:rPr>
              <w:t>Loadbar width in pixels.</w:t>
            </w:r>
          </w:p>
        </w:tc>
        <w:tc>
          <w:tcPr>
            <w:tcW w:type="dxa" w:w="2520"/>
            <w:vAlign w:val="top"/>
          </w:tcPr>
          <w:p>
            <w:r>
              <w:rPr>
                <w:sz w:val="17"/>
              </w:rPr>
              <w:t>452</w:t>
            </w:r>
          </w:p>
        </w:tc>
      </w:tr>
      <w:tr>
        <w:tc>
          <w:tcPr>
            <w:tcW w:type="dxa" w:w="2520"/>
            <w:vAlign w:val="top"/>
          </w:tcPr>
          <w:p>
            <w:r>
              <w:rPr>
                <w:sz w:val="17"/>
              </w:rPr>
              <w:t>LOADBAR_HEIGHT_FRAC</w:t>
            </w:r>
          </w:p>
        </w:tc>
        <w:tc>
          <w:tcPr>
            <w:tcW w:type="dxa" w:w="2520"/>
            <w:vAlign w:val="top"/>
          </w:tcPr>
          <w:p>
            <w:r>
              <w:rPr>
                <w:sz w:val="17"/>
              </w:rPr>
              <w:t>0.60</w:t>
            </w:r>
          </w:p>
        </w:tc>
        <w:tc>
          <w:tcPr>
            <w:tcW w:type="dxa" w:w="2520"/>
            <w:vAlign w:val="top"/>
          </w:tcPr>
          <w:p>
            <w:r>
              <w:rPr>
                <w:sz w:val="17"/>
              </w:rPr>
              <w:t>Loadbar height as fraction of screen height.</w:t>
            </w:r>
          </w:p>
        </w:tc>
        <w:tc>
          <w:tcPr>
            <w:tcW w:type="dxa" w:w="2520"/>
            <w:vAlign w:val="top"/>
          </w:tcPr>
          <w:p>
            <w:r>
              <w:rPr>
                <w:sz w:val="17"/>
              </w:rPr>
              <w:t>453</w:t>
            </w:r>
          </w:p>
        </w:tc>
      </w:tr>
      <w:tr>
        <w:tc>
          <w:tcPr>
            <w:tcW w:type="dxa" w:w="2520"/>
            <w:vAlign w:val="top"/>
          </w:tcPr>
          <w:p>
            <w:r>
              <w:rPr>
                <w:sz w:val="17"/>
              </w:rPr>
              <w:t>LOADBAR_X_OFFSET</w:t>
            </w:r>
          </w:p>
        </w:tc>
        <w:tc>
          <w:tcPr>
            <w:tcW w:type="dxa" w:w="2520"/>
            <w:vAlign w:val="top"/>
          </w:tcPr>
          <w:p>
            <w:r>
              <w:rPr>
                <w:sz w:val="17"/>
              </w:rPr>
              <w:t>50</w:t>
            </w:r>
          </w:p>
        </w:tc>
        <w:tc>
          <w:tcPr>
            <w:tcW w:type="dxa" w:w="2520"/>
            <w:vAlign w:val="top"/>
          </w:tcPr>
          <w:p>
            <w:r>
              <w:rPr>
                <w:sz w:val="17"/>
              </w:rPr>
              <w:t>Loadbar horizontal offset.</w:t>
            </w:r>
          </w:p>
        </w:tc>
        <w:tc>
          <w:tcPr>
            <w:tcW w:type="dxa" w:w="2520"/>
            <w:vAlign w:val="top"/>
          </w:tcPr>
          <w:p>
            <w:r>
              <w:rPr>
                <w:sz w:val="17"/>
              </w:rPr>
              <w:t>454</w:t>
            </w:r>
          </w:p>
        </w:tc>
      </w:tr>
    </w:tbl>
    <w:p>
      <w:pPr>
        <w:pStyle w:val="Heading2"/>
      </w:pPr>
      <w:r>
        <w:t>Timing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PREP_DURATION_S</w:t>
            </w:r>
          </w:p>
        </w:tc>
        <w:tc>
          <w:tcPr>
            <w:tcW w:type="dxa" w:w="2520"/>
            <w:vAlign w:val="top"/>
          </w:tcPr>
          <w:p>
            <w:r>
              <w:rPr>
                <w:sz w:val="17"/>
              </w:rPr>
              <w:t>3.0</w:t>
            </w:r>
          </w:p>
        </w:tc>
        <w:tc>
          <w:tcPr>
            <w:tcW w:type="dxa" w:w="2520"/>
            <w:vAlign w:val="top"/>
          </w:tcPr>
          <w:p>
            <w:r>
              <w:rPr>
                <w:sz w:val="17"/>
              </w:rPr>
              <w:t>Base preparatory interval before GO; editable in GUI.</w:t>
            </w:r>
          </w:p>
        </w:tc>
        <w:tc>
          <w:tcPr>
            <w:tcW w:type="dxa" w:w="2520"/>
            <w:vAlign w:val="top"/>
          </w:tcPr>
          <w:p>
            <w:r>
              <w:rPr>
                <w:sz w:val="17"/>
              </w:rPr>
              <w:t>470</w:t>
            </w:r>
          </w:p>
        </w:tc>
      </w:tr>
      <w:tr>
        <w:tc>
          <w:tcPr>
            <w:tcW w:type="dxa" w:w="2520"/>
            <w:vAlign w:val="top"/>
          </w:tcPr>
          <w:p>
            <w:r>
              <w:rPr>
                <w:sz w:val="17"/>
              </w:rPr>
              <w:t>PREP_JITTER_S</w:t>
            </w:r>
          </w:p>
        </w:tc>
        <w:tc>
          <w:tcPr>
            <w:tcW w:type="dxa" w:w="2520"/>
            <w:vAlign w:val="top"/>
          </w:tcPr>
          <w:p>
            <w:r>
              <w:rPr>
                <w:sz w:val="17"/>
              </w:rPr>
              <w:t>0.0</w:t>
            </w:r>
          </w:p>
        </w:tc>
        <w:tc>
          <w:tcPr>
            <w:tcW w:type="dxa" w:w="2520"/>
            <w:vAlign w:val="top"/>
          </w:tcPr>
          <w:p>
            <w:r>
              <w:rPr>
                <w:sz w:val="17"/>
              </w:rPr>
              <w:t>Uniform extra PREP duration range.</w:t>
            </w:r>
          </w:p>
        </w:tc>
        <w:tc>
          <w:tcPr>
            <w:tcW w:type="dxa" w:w="2520"/>
            <w:vAlign w:val="top"/>
          </w:tcPr>
          <w:p>
            <w:r>
              <w:rPr>
                <w:sz w:val="17"/>
              </w:rPr>
              <w:t>474</w:t>
            </w:r>
          </w:p>
        </w:tc>
      </w:tr>
      <w:tr>
        <w:tc>
          <w:tcPr>
            <w:tcW w:type="dxa" w:w="2520"/>
            <w:vAlign w:val="top"/>
          </w:tcPr>
          <w:p>
            <w:r>
              <w:rPr>
                <w:sz w:val="17"/>
              </w:rPr>
              <w:t>USE_RED_CUE</w:t>
            </w:r>
          </w:p>
        </w:tc>
        <w:tc>
          <w:tcPr>
            <w:tcW w:type="dxa" w:w="2520"/>
            <w:vAlign w:val="top"/>
          </w:tcPr>
          <w:p>
            <w:r>
              <w:rPr>
                <w:sz w:val="17"/>
              </w:rPr>
              <w:t>True</w:t>
            </w:r>
          </w:p>
        </w:tc>
        <w:tc>
          <w:tcPr>
            <w:tcW w:type="dxa" w:w="2520"/>
            <w:vAlign w:val="top"/>
          </w:tcPr>
          <w:p>
            <w:r>
              <w:rPr>
                <w:sz w:val="17"/>
              </w:rPr>
              <w:t>Whether PREP visibly shows the red target.</w:t>
            </w:r>
          </w:p>
        </w:tc>
        <w:tc>
          <w:tcPr>
            <w:tcW w:type="dxa" w:w="2520"/>
            <w:vAlign w:val="top"/>
          </w:tcPr>
          <w:p>
            <w:r>
              <w:rPr>
                <w:sz w:val="17"/>
              </w:rPr>
              <w:t>479</w:t>
            </w:r>
          </w:p>
        </w:tc>
      </w:tr>
      <w:tr>
        <w:tc>
          <w:tcPr>
            <w:tcW w:type="dxa" w:w="2520"/>
            <w:vAlign w:val="top"/>
          </w:tcPr>
          <w:p>
            <w:r>
              <w:rPr>
                <w:sz w:val="17"/>
              </w:rPr>
              <w:t>GO_DURATION_S</w:t>
            </w:r>
          </w:p>
        </w:tc>
        <w:tc>
          <w:tcPr>
            <w:tcW w:type="dxa" w:w="2520"/>
            <w:vAlign w:val="top"/>
          </w:tcPr>
          <w:p>
            <w:r>
              <w:rPr>
                <w:sz w:val="17"/>
              </w:rPr>
              <w:t>1.10</w:t>
            </w:r>
          </w:p>
        </w:tc>
        <w:tc>
          <w:tcPr>
            <w:tcW w:type="dxa" w:w="2520"/>
            <w:vAlign w:val="top"/>
          </w:tcPr>
          <w:p>
            <w:r>
              <w:rPr>
                <w:sz w:val="17"/>
              </w:rPr>
              <w:t>Base visible green GO duration; editable in GUI.</w:t>
            </w:r>
          </w:p>
        </w:tc>
        <w:tc>
          <w:tcPr>
            <w:tcW w:type="dxa" w:w="2520"/>
            <w:vAlign w:val="top"/>
          </w:tcPr>
          <w:p>
            <w:r>
              <w:rPr>
                <w:sz w:val="17"/>
              </w:rPr>
              <w:t>494</w:t>
            </w:r>
          </w:p>
        </w:tc>
      </w:tr>
      <w:tr>
        <w:tc>
          <w:tcPr>
            <w:tcW w:type="dxa" w:w="2520"/>
            <w:vAlign w:val="top"/>
          </w:tcPr>
          <w:p>
            <w:r>
              <w:rPr>
                <w:sz w:val="17"/>
              </w:rPr>
              <w:t>GO_JITTER_S</w:t>
            </w:r>
          </w:p>
        </w:tc>
        <w:tc>
          <w:tcPr>
            <w:tcW w:type="dxa" w:w="2520"/>
            <w:vAlign w:val="top"/>
          </w:tcPr>
          <w:p>
            <w:r>
              <w:rPr>
                <w:sz w:val="17"/>
              </w:rPr>
              <w:t>0.0</w:t>
            </w:r>
          </w:p>
        </w:tc>
        <w:tc>
          <w:tcPr>
            <w:tcW w:type="dxa" w:w="2520"/>
            <w:vAlign w:val="top"/>
          </w:tcPr>
          <w:p>
            <w:r>
              <w:rPr>
                <w:sz w:val="17"/>
              </w:rPr>
              <w:t>Uniform extra visible GO duration.</w:t>
            </w:r>
          </w:p>
        </w:tc>
        <w:tc>
          <w:tcPr>
            <w:tcW w:type="dxa" w:w="2520"/>
            <w:vAlign w:val="top"/>
          </w:tcPr>
          <w:p>
            <w:r>
              <w:rPr>
                <w:sz w:val="17"/>
              </w:rPr>
              <w:t>499</w:t>
            </w:r>
          </w:p>
        </w:tc>
      </w:tr>
      <w:tr>
        <w:tc>
          <w:tcPr>
            <w:tcW w:type="dxa" w:w="2520"/>
            <w:vAlign w:val="top"/>
          </w:tcPr>
          <w:p>
            <w:r>
              <w:rPr>
                <w:sz w:val="17"/>
              </w:rPr>
              <w:t>POST_GO_RECORDING_END_S</w:t>
            </w:r>
          </w:p>
        </w:tc>
        <w:tc>
          <w:tcPr>
            <w:tcW w:type="dxa" w:w="2520"/>
            <w:vAlign w:val="top"/>
          </w:tcPr>
          <w:p>
            <w:r>
              <w:rPr>
                <w:sz w:val="17"/>
              </w:rPr>
              <w:t>2.00</w:t>
            </w:r>
          </w:p>
        </w:tc>
        <w:tc>
          <w:tcPr>
            <w:tcW w:type="dxa" w:w="2520"/>
            <w:vAlign w:val="top"/>
          </w:tcPr>
          <w:p>
            <w:r>
              <w:rPr>
                <w:sz w:val="17"/>
              </w:rPr>
              <w:t>Time after GO until force recording ends; no stimulation in tail.</w:t>
            </w:r>
          </w:p>
        </w:tc>
        <w:tc>
          <w:tcPr>
            <w:tcW w:type="dxa" w:w="2520"/>
            <w:vAlign w:val="top"/>
          </w:tcPr>
          <w:p>
            <w:r>
              <w:rPr>
                <w:sz w:val="17"/>
              </w:rPr>
              <w:t>503</w:t>
            </w:r>
          </w:p>
        </w:tc>
      </w:tr>
      <w:tr>
        <w:tc>
          <w:tcPr>
            <w:tcW w:type="dxa" w:w="2520"/>
            <w:vAlign w:val="top"/>
          </w:tcPr>
          <w:p>
            <w:r>
              <w:rPr>
                <w:sz w:val="17"/>
              </w:rPr>
              <w:t>ITI_MIN_S</w:t>
            </w:r>
          </w:p>
        </w:tc>
        <w:tc>
          <w:tcPr>
            <w:tcW w:type="dxa" w:w="2520"/>
            <w:vAlign w:val="top"/>
          </w:tcPr>
          <w:p>
            <w:r>
              <w:rPr>
                <w:sz w:val="17"/>
              </w:rPr>
              <w:t>1.0</w:t>
            </w:r>
          </w:p>
        </w:tc>
        <w:tc>
          <w:tcPr>
            <w:tcW w:type="dxa" w:w="2520"/>
            <w:vAlign w:val="top"/>
          </w:tcPr>
          <w:p>
            <w:r>
              <w:rPr>
                <w:sz w:val="17"/>
              </w:rPr>
              <w:t>Base inter-trial interval.</w:t>
            </w:r>
          </w:p>
        </w:tc>
        <w:tc>
          <w:tcPr>
            <w:tcW w:type="dxa" w:w="2520"/>
            <w:vAlign w:val="top"/>
          </w:tcPr>
          <w:p>
            <w:r>
              <w:rPr>
                <w:sz w:val="17"/>
              </w:rPr>
              <w:t>509</w:t>
            </w:r>
          </w:p>
        </w:tc>
      </w:tr>
      <w:tr>
        <w:tc>
          <w:tcPr>
            <w:tcW w:type="dxa" w:w="2520"/>
            <w:vAlign w:val="top"/>
          </w:tcPr>
          <w:p>
            <w:r>
              <w:rPr>
                <w:sz w:val="17"/>
              </w:rPr>
              <w:t>ITI_JITTER_S</w:t>
            </w:r>
          </w:p>
        </w:tc>
        <w:tc>
          <w:tcPr>
            <w:tcW w:type="dxa" w:w="2520"/>
            <w:vAlign w:val="top"/>
          </w:tcPr>
          <w:p>
            <w:r>
              <w:rPr>
                <w:sz w:val="17"/>
              </w:rPr>
              <w:t>0.5</w:t>
            </w:r>
          </w:p>
        </w:tc>
        <w:tc>
          <w:tcPr>
            <w:tcW w:type="dxa" w:w="2520"/>
            <w:vAlign w:val="top"/>
          </w:tcPr>
          <w:p>
            <w:r>
              <w:rPr>
                <w:sz w:val="17"/>
              </w:rPr>
              <w:t>Uniform extra ITI range.</w:t>
            </w:r>
          </w:p>
        </w:tc>
        <w:tc>
          <w:tcPr>
            <w:tcW w:type="dxa" w:w="2520"/>
            <w:vAlign w:val="top"/>
          </w:tcPr>
          <w:p>
            <w:r>
              <w:rPr>
                <w:sz w:val="17"/>
              </w:rPr>
              <w:t>510</w:t>
            </w:r>
          </w:p>
        </w:tc>
      </w:tr>
      <w:tr>
        <w:tc>
          <w:tcPr>
            <w:tcW w:type="dxa" w:w="2520"/>
            <w:vAlign w:val="top"/>
          </w:tcPr>
          <w:p>
            <w:r>
              <w:rPr>
                <w:sz w:val="17"/>
              </w:rPr>
              <w:t>ITI_MAX_S</w:t>
            </w:r>
          </w:p>
        </w:tc>
        <w:tc>
          <w:tcPr>
            <w:tcW w:type="dxa" w:w="2520"/>
            <w:vAlign w:val="top"/>
          </w:tcPr>
          <w:p>
            <w:r>
              <w:rPr>
                <w:sz w:val="17"/>
              </w:rPr>
              <w:t>ITI_MIN_S + ITI_JITTER_S</w:t>
            </w:r>
          </w:p>
        </w:tc>
        <w:tc>
          <w:tcPr>
            <w:tcW w:type="dxa" w:w="2520"/>
            <w:vAlign w:val="top"/>
          </w:tcPr>
          <w:p>
            <w:r>
              <w:rPr>
                <w:sz w:val="17"/>
              </w:rPr>
              <w:t>Derived upper ITI bound = base + jitter.</w:t>
            </w:r>
          </w:p>
        </w:tc>
        <w:tc>
          <w:tcPr>
            <w:tcW w:type="dxa" w:w="2520"/>
            <w:vAlign w:val="top"/>
          </w:tcPr>
          <w:p>
            <w:r>
              <w:rPr>
                <w:sz w:val="17"/>
              </w:rPr>
              <w:t>511</w:t>
            </w:r>
          </w:p>
        </w:tc>
      </w:tr>
      <w:tr>
        <w:tc>
          <w:tcPr>
            <w:tcW w:type="dxa" w:w="2520"/>
            <w:vAlign w:val="top"/>
          </w:tcPr>
          <w:p>
            <w:r>
              <w:rPr>
                <w:sz w:val="17"/>
              </w:rPr>
              <w:t>_MIN_EPOCH_DURATION_S</w:t>
            </w:r>
          </w:p>
        </w:tc>
        <w:tc>
          <w:tcPr>
            <w:tcW w:type="dxa" w:w="2520"/>
            <w:vAlign w:val="top"/>
          </w:tcPr>
          <w:p>
            <w:r>
              <w:rPr>
                <w:sz w:val="17"/>
              </w:rPr>
              <w:t>MIN_EPOCH_SAMPLES / SAMPLING_RATE_HZ</w:t>
            </w:r>
          </w:p>
        </w:tc>
        <w:tc>
          <w:tcPr>
            <w:tcW w:type="dxa" w:w="2520"/>
            <w:vAlign w:val="top"/>
          </w:tcPr>
          <w:p>
            <w:r>
              <w:rPr>
                <w:sz w:val="17"/>
              </w:rPr>
              <w:t>Top-level configuration or display constant used by the implementation.</w:t>
            </w:r>
          </w:p>
        </w:tc>
        <w:tc>
          <w:tcPr>
            <w:tcW w:type="dxa" w:w="2520"/>
            <w:vAlign w:val="top"/>
          </w:tcPr>
          <w:p>
            <w:r>
              <w:rPr>
                <w:sz w:val="17"/>
              </w:rPr>
              <w:t>592</w:t>
            </w:r>
          </w:p>
        </w:tc>
      </w:tr>
    </w:tbl>
    <w:p>
      <w:pPr>
        <w:pStyle w:val="Heading2"/>
      </w:pPr>
      <w:r>
        <w:t>DAQ, breaks, output and colors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CUE_TRIGGER_LEAD_S</w:t>
            </w:r>
          </w:p>
        </w:tc>
        <w:tc>
          <w:tcPr>
            <w:tcW w:type="dxa" w:w="2520"/>
            <w:vAlign w:val="top"/>
          </w:tcPr>
          <w:p>
            <w:r>
              <w:rPr>
                <w:sz w:val="17"/>
              </w:rPr>
              <w:t>0.1</w:t>
            </w:r>
          </w:p>
        </w:tc>
        <w:tc>
          <w:tcPr>
            <w:tcW w:type="dxa" w:w="2520"/>
            <w:vAlign w:val="top"/>
          </w:tcPr>
          <w:p>
            <w:r>
              <w:rPr>
                <w:sz w:val="17"/>
              </w:rPr>
              <w:t>How long before PREP ends the cue DAQ trigger is sent.</w:t>
            </w:r>
          </w:p>
        </w:tc>
        <w:tc>
          <w:tcPr>
            <w:tcW w:type="dxa" w:w="2520"/>
            <w:vAlign w:val="top"/>
          </w:tcPr>
          <w:p>
            <w:r>
              <w:rPr>
                <w:sz w:val="17"/>
              </w:rPr>
              <w:t>613</w:t>
            </w:r>
          </w:p>
        </w:tc>
      </w:tr>
      <w:tr>
        <w:tc>
          <w:tcPr>
            <w:tcW w:type="dxa" w:w="2520"/>
            <w:vAlign w:val="top"/>
          </w:tcPr>
          <w:p>
            <w:r>
              <w:rPr>
                <w:sz w:val="17"/>
              </w:rPr>
              <w:t>BREAK_DURATION</w:t>
            </w:r>
          </w:p>
        </w:tc>
        <w:tc>
          <w:tcPr>
            <w:tcW w:type="dxa" w:w="2520"/>
            <w:vAlign w:val="top"/>
          </w:tcPr>
          <w:p>
            <w:r>
              <w:rPr>
                <w:sz w:val="17"/>
              </w:rPr>
              <w:t>30</w:t>
            </w:r>
          </w:p>
        </w:tc>
        <w:tc>
          <w:tcPr>
            <w:tcW w:type="dxa" w:w="2520"/>
            <w:vAlign w:val="top"/>
          </w:tcPr>
          <w:p>
            <w:r>
              <w:rPr>
                <w:sz w:val="17"/>
              </w:rPr>
              <w:t>Duration of scheduled break state.</w:t>
            </w:r>
          </w:p>
        </w:tc>
        <w:tc>
          <w:tcPr>
            <w:tcW w:type="dxa" w:w="2520"/>
            <w:vAlign w:val="top"/>
          </w:tcPr>
          <w:p>
            <w:r>
              <w:rPr>
                <w:sz w:val="17"/>
              </w:rPr>
              <w:t>623</w:t>
            </w:r>
          </w:p>
        </w:tc>
      </w:tr>
      <w:tr>
        <w:tc>
          <w:tcPr>
            <w:tcW w:type="dxa" w:w="2520"/>
            <w:vAlign w:val="top"/>
          </w:tcPr>
          <w:p>
            <w:r>
              <w:rPr>
                <w:sz w:val="17"/>
              </w:rPr>
              <w:t>BREAK_INTERVAL</w:t>
            </w:r>
          </w:p>
        </w:tc>
        <w:tc>
          <w:tcPr>
            <w:tcW w:type="dxa" w:w="2520"/>
            <w:vAlign w:val="top"/>
          </w:tcPr>
          <w:p>
            <w:r>
              <w:rPr>
                <w:sz w:val="17"/>
              </w:rPr>
              <w:t>5 * 60</w:t>
            </w:r>
          </w:p>
        </w:tc>
        <w:tc>
          <w:tcPr>
            <w:tcW w:type="dxa" w:w="2520"/>
            <w:vAlign w:val="top"/>
          </w:tcPr>
          <w:p>
            <w:r>
              <w:rPr>
                <w:sz w:val="17"/>
              </w:rPr>
              <w:t>Elapsed interval between breaks.</w:t>
            </w:r>
          </w:p>
        </w:tc>
        <w:tc>
          <w:tcPr>
            <w:tcW w:type="dxa" w:w="2520"/>
            <w:vAlign w:val="top"/>
          </w:tcPr>
          <w:p>
            <w:r>
              <w:rPr>
                <w:sz w:val="17"/>
              </w:rPr>
              <w:t>624</w:t>
            </w:r>
          </w:p>
        </w:tc>
      </w:tr>
      <w:tr>
        <w:tc>
          <w:tcPr>
            <w:tcW w:type="dxa" w:w="2520"/>
            <w:vAlign w:val="top"/>
          </w:tcPr>
          <w:p>
            <w:r>
              <w:rPr>
                <w:sz w:val="17"/>
              </w:rPr>
              <w:t>USER_HOME</w:t>
            </w:r>
          </w:p>
        </w:tc>
        <w:tc>
          <w:tcPr>
            <w:tcW w:type="dxa" w:w="2520"/>
            <w:vAlign w:val="top"/>
          </w:tcPr>
          <w:p>
            <w:r>
              <w:rPr>
                <w:sz w:val="17"/>
              </w:rPr>
              <w:t>os.path.expanduser("~")</w:t>
            </w:r>
          </w:p>
        </w:tc>
        <w:tc>
          <w:tcPr>
            <w:tcW w:type="dxa" w:w="2520"/>
            <w:vAlign w:val="top"/>
          </w:tcPr>
          <w:p>
            <w:r>
              <w:rPr>
                <w:sz w:val="17"/>
              </w:rPr>
              <w:t>Top-level configuration or display constant used by the implementation.</w:t>
            </w:r>
          </w:p>
        </w:tc>
        <w:tc>
          <w:tcPr>
            <w:tcW w:type="dxa" w:w="2520"/>
            <w:vAlign w:val="top"/>
          </w:tcPr>
          <w:p>
            <w:r>
              <w:rPr>
                <w:sz w:val="17"/>
              </w:rPr>
              <w:t>638</w:t>
            </w:r>
          </w:p>
        </w:tc>
      </w:tr>
      <w:tr>
        <w:tc>
          <w:tcPr>
            <w:tcW w:type="dxa" w:w="2520"/>
            <w:vAlign w:val="top"/>
          </w:tcPr>
          <w:p>
            <w:r>
              <w:rPr>
                <w:sz w:val="17"/>
              </w:rPr>
              <w:t>OUTPUT_ROOT</w:t>
            </w:r>
          </w:p>
        </w:tc>
        <w:tc>
          <w:tcPr>
            <w:tcW w:type="dxa" w:w="2520"/>
            <w:vAlign w:val="top"/>
          </w:tcPr>
          <w:p>
            <w:r>
              <w:rPr>
                <w:sz w:val="17"/>
              </w:rPr>
              <w:t>os.path.join(USER_HOME, "Desktop", "ADAPT_BK")</w:t>
            </w:r>
          </w:p>
        </w:tc>
        <w:tc>
          <w:tcPr>
            <w:tcW w:type="dxa" w:w="2520"/>
            <w:vAlign w:val="top"/>
          </w:tcPr>
          <w:p>
            <w:r>
              <w:rPr>
                <w:sz w:val="17"/>
              </w:rPr>
              <w:t>Primary root directory for saved results.</w:t>
            </w:r>
          </w:p>
        </w:tc>
        <w:tc>
          <w:tcPr>
            <w:tcW w:type="dxa" w:w="2520"/>
            <w:vAlign w:val="top"/>
          </w:tcPr>
          <w:p>
            <w:r>
              <w:rPr>
                <w:sz w:val="17"/>
              </w:rPr>
              <w:t>639</w:t>
            </w:r>
          </w:p>
        </w:tc>
      </w:tr>
      <w:tr>
        <w:tc>
          <w:tcPr>
            <w:tcW w:type="dxa" w:w="2520"/>
            <w:vAlign w:val="top"/>
          </w:tcPr>
          <w:p>
            <w:r>
              <w:rPr>
                <w:sz w:val="17"/>
              </w:rPr>
              <w:t>WHITE</w:t>
            </w:r>
          </w:p>
        </w:tc>
        <w:tc>
          <w:tcPr>
            <w:tcW w:type="dxa" w:w="2520"/>
            <w:vAlign w:val="top"/>
          </w:tcPr>
          <w:p>
            <w:r>
              <w:rPr>
                <w:sz w:val="17"/>
              </w:rPr>
              <w:t>(255, 255, 255)</w:t>
            </w:r>
          </w:p>
        </w:tc>
        <w:tc>
          <w:tcPr>
            <w:tcW w:type="dxa" w:w="2520"/>
            <w:vAlign w:val="top"/>
          </w:tcPr>
          <w:p>
            <w:r>
              <w:rPr>
                <w:sz w:val="17"/>
              </w:rPr>
              <w:t>RGB white.</w:t>
            </w:r>
          </w:p>
        </w:tc>
        <w:tc>
          <w:tcPr>
            <w:tcW w:type="dxa" w:w="2520"/>
            <w:vAlign w:val="top"/>
          </w:tcPr>
          <w:p>
            <w:r>
              <w:rPr>
                <w:sz w:val="17"/>
              </w:rPr>
              <w:t>648</w:t>
            </w:r>
          </w:p>
        </w:tc>
      </w:tr>
      <w:tr>
        <w:tc>
          <w:tcPr>
            <w:tcW w:type="dxa" w:w="2520"/>
            <w:vAlign w:val="top"/>
          </w:tcPr>
          <w:p>
            <w:r>
              <w:rPr>
                <w:sz w:val="17"/>
              </w:rPr>
              <w:t>BLACK</w:t>
            </w:r>
          </w:p>
        </w:tc>
        <w:tc>
          <w:tcPr>
            <w:tcW w:type="dxa" w:w="2520"/>
            <w:vAlign w:val="top"/>
          </w:tcPr>
          <w:p>
            <w:r>
              <w:rPr>
                <w:sz w:val="17"/>
              </w:rPr>
              <w:t>(0, 0, 0)</w:t>
            </w:r>
          </w:p>
        </w:tc>
        <w:tc>
          <w:tcPr>
            <w:tcW w:type="dxa" w:w="2520"/>
            <w:vAlign w:val="top"/>
          </w:tcPr>
          <w:p>
            <w:r>
              <w:rPr>
                <w:sz w:val="17"/>
              </w:rPr>
              <w:t>RGB black.</w:t>
            </w:r>
          </w:p>
        </w:tc>
        <w:tc>
          <w:tcPr>
            <w:tcW w:type="dxa" w:w="2520"/>
            <w:vAlign w:val="top"/>
          </w:tcPr>
          <w:p>
            <w:r>
              <w:rPr>
                <w:sz w:val="17"/>
              </w:rPr>
              <w:t>649</w:t>
            </w:r>
          </w:p>
        </w:tc>
      </w:tr>
      <w:tr>
        <w:tc>
          <w:tcPr>
            <w:tcW w:type="dxa" w:w="2520"/>
            <w:vAlign w:val="top"/>
          </w:tcPr>
          <w:p>
            <w:r>
              <w:rPr>
                <w:sz w:val="17"/>
              </w:rPr>
              <w:t>BLUE</w:t>
            </w:r>
          </w:p>
        </w:tc>
        <w:tc>
          <w:tcPr>
            <w:tcW w:type="dxa" w:w="2520"/>
            <w:vAlign w:val="top"/>
          </w:tcPr>
          <w:p>
            <w:r>
              <w:rPr>
                <w:sz w:val="17"/>
              </w:rPr>
              <w:t>(0, 191, 255)</w:t>
            </w:r>
          </w:p>
        </w:tc>
        <w:tc>
          <w:tcPr>
            <w:tcW w:type="dxa" w:w="2520"/>
            <w:vAlign w:val="top"/>
          </w:tcPr>
          <w:p>
            <w:r>
              <w:rPr>
                <w:sz w:val="17"/>
              </w:rPr>
              <w:t>RGB blue.</w:t>
            </w:r>
          </w:p>
        </w:tc>
        <w:tc>
          <w:tcPr>
            <w:tcW w:type="dxa" w:w="2520"/>
            <w:vAlign w:val="top"/>
          </w:tcPr>
          <w:p>
            <w:r>
              <w:rPr>
                <w:sz w:val="17"/>
              </w:rPr>
              <w:t>650</w:t>
            </w:r>
          </w:p>
        </w:tc>
      </w:tr>
      <w:tr>
        <w:tc>
          <w:tcPr>
            <w:tcW w:type="dxa" w:w="2520"/>
            <w:vAlign w:val="top"/>
          </w:tcPr>
          <w:p>
            <w:r>
              <w:rPr>
                <w:sz w:val="17"/>
              </w:rPr>
              <w:t>GREEN</w:t>
            </w:r>
          </w:p>
        </w:tc>
        <w:tc>
          <w:tcPr>
            <w:tcW w:type="dxa" w:w="2520"/>
            <w:vAlign w:val="top"/>
          </w:tcPr>
          <w:p>
            <w:r>
              <w:rPr>
                <w:sz w:val="17"/>
              </w:rPr>
              <w:t>(0, 255, 64)</w:t>
            </w:r>
          </w:p>
        </w:tc>
        <w:tc>
          <w:tcPr>
            <w:tcW w:type="dxa" w:w="2520"/>
            <w:vAlign w:val="top"/>
          </w:tcPr>
          <w:p>
            <w:r>
              <w:rPr>
                <w:sz w:val="17"/>
              </w:rPr>
              <w:t>RGB green.</w:t>
            </w:r>
          </w:p>
        </w:tc>
        <w:tc>
          <w:tcPr>
            <w:tcW w:type="dxa" w:w="2520"/>
            <w:vAlign w:val="top"/>
          </w:tcPr>
          <w:p>
            <w:r>
              <w:rPr>
                <w:sz w:val="17"/>
              </w:rPr>
              <w:t>651</w:t>
            </w:r>
          </w:p>
        </w:tc>
      </w:tr>
      <w:tr>
        <w:tc>
          <w:tcPr>
            <w:tcW w:type="dxa" w:w="2520"/>
            <w:vAlign w:val="top"/>
          </w:tcPr>
          <w:p>
            <w:r>
              <w:rPr>
                <w:sz w:val="17"/>
              </w:rPr>
              <w:t>RED</w:t>
            </w:r>
          </w:p>
        </w:tc>
        <w:tc>
          <w:tcPr>
            <w:tcW w:type="dxa" w:w="2520"/>
            <w:vAlign w:val="top"/>
          </w:tcPr>
          <w:p>
            <w:r>
              <w:rPr>
                <w:sz w:val="17"/>
              </w:rPr>
              <w:t>(220, 20, 60)</w:t>
            </w:r>
          </w:p>
        </w:tc>
        <w:tc>
          <w:tcPr>
            <w:tcW w:type="dxa" w:w="2520"/>
            <w:vAlign w:val="top"/>
          </w:tcPr>
          <w:p>
            <w:r>
              <w:rPr>
                <w:sz w:val="17"/>
              </w:rPr>
              <w:t>RGB red.</w:t>
            </w:r>
          </w:p>
        </w:tc>
        <w:tc>
          <w:tcPr>
            <w:tcW w:type="dxa" w:w="2520"/>
            <w:vAlign w:val="top"/>
          </w:tcPr>
          <w:p>
            <w:r>
              <w:rPr>
                <w:sz w:val="17"/>
              </w:rPr>
              <w:t>652</w:t>
            </w:r>
          </w:p>
        </w:tc>
      </w:tr>
      <w:tr>
        <w:tc>
          <w:tcPr>
            <w:tcW w:type="dxa" w:w="2520"/>
            <w:vAlign w:val="top"/>
          </w:tcPr>
          <w:p>
            <w:r>
              <w:rPr>
                <w:sz w:val="17"/>
              </w:rPr>
              <w:t>NEUTRAL_GRAY</w:t>
            </w:r>
          </w:p>
        </w:tc>
        <w:tc>
          <w:tcPr>
            <w:tcW w:type="dxa" w:w="2520"/>
            <w:vAlign w:val="top"/>
          </w:tcPr>
          <w:p>
            <w:r>
              <w:rPr>
                <w:sz w:val="17"/>
              </w:rPr>
              <w:t>(90, 90, 90)</w:t>
            </w:r>
          </w:p>
        </w:tc>
        <w:tc>
          <w:tcPr>
            <w:tcW w:type="dxa" w:w="2520"/>
            <w:vAlign w:val="top"/>
          </w:tcPr>
          <w:p>
            <w:r>
              <w:rPr>
                <w:sz w:val="17"/>
              </w:rPr>
              <w:t>RGB neutral gray.</w:t>
            </w:r>
          </w:p>
        </w:tc>
        <w:tc>
          <w:tcPr>
            <w:tcW w:type="dxa" w:w="2520"/>
            <w:vAlign w:val="top"/>
          </w:tcPr>
          <w:p>
            <w:r>
              <w:rPr>
                <w:sz w:val="17"/>
              </w:rPr>
              <w:t>653</w:t>
            </w:r>
          </w:p>
        </w:tc>
      </w:tr>
      <w:tr>
        <w:tc>
          <w:tcPr>
            <w:tcW w:type="dxa" w:w="2520"/>
            <w:vAlign w:val="top"/>
          </w:tcPr>
          <w:p>
            <w:r>
              <w:rPr>
                <w:sz w:val="17"/>
              </w:rPr>
              <w:t>YELLOW</w:t>
            </w:r>
          </w:p>
        </w:tc>
        <w:tc>
          <w:tcPr>
            <w:tcW w:type="dxa" w:w="2520"/>
            <w:vAlign w:val="top"/>
          </w:tcPr>
          <w:p>
            <w:r>
              <w:rPr>
                <w:sz w:val="17"/>
              </w:rPr>
              <w:t>(255, 255, 0)</w:t>
            </w:r>
          </w:p>
        </w:tc>
        <w:tc>
          <w:tcPr>
            <w:tcW w:type="dxa" w:w="2520"/>
            <w:vAlign w:val="top"/>
          </w:tcPr>
          <w:p>
            <w:r>
              <w:rPr>
                <w:sz w:val="17"/>
              </w:rPr>
              <w:t>RGB yellow.</w:t>
            </w:r>
          </w:p>
        </w:tc>
        <w:tc>
          <w:tcPr>
            <w:tcW w:type="dxa" w:w="2520"/>
            <w:vAlign w:val="top"/>
          </w:tcPr>
          <w:p>
            <w:r>
              <w:rPr>
                <w:sz w:val="17"/>
              </w:rPr>
              <w:t>654</w:t>
            </w:r>
          </w:p>
        </w:tc>
      </w:tr>
      <w:tr>
        <w:tc>
          <w:tcPr>
            <w:tcW w:type="dxa" w:w="2520"/>
            <w:vAlign w:val="top"/>
          </w:tcPr>
          <w:p>
            <w:r>
              <w:rPr>
                <w:sz w:val="17"/>
              </w:rPr>
              <w:t>GLOBAL_START_TIME</w:t>
            </w:r>
          </w:p>
        </w:tc>
        <w:tc>
          <w:tcPr>
            <w:tcW w:type="dxa" w:w="2520"/>
            <w:vAlign w:val="top"/>
          </w:tcPr>
          <w:p>
            <w:r>
              <w:rPr>
                <w:sz w:val="17"/>
              </w:rPr>
              <w:t>None</w:t>
            </w:r>
          </w:p>
        </w:tc>
        <w:tc>
          <w:tcPr>
            <w:tcW w:type="dxa" w:w="2520"/>
            <w:vAlign w:val="top"/>
          </w:tcPr>
          <w:p>
            <w:r>
              <w:rPr>
                <w:sz w:val="17"/>
              </w:rPr>
              <w:t>Top-level configuration or display constant used by the implementation.</w:t>
            </w:r>
          </w:p>
        </w:tc>
        <w:tc>
          <w:tcPr>
            <w:tcW w:type="dxa" w:w="2520"/>
            <w:vAlign w:val="top"/>
          </w:tcPr>
          <w:p>
            <w:r>
              <w:rPr>
                <w:sz w:val="17"/>
              </w:rPr>
              <w:t>661</w:t>
            </w:r>
          </w:p>
        </w:tc>
      </w:tr>
    </w:tbl>
    <w:p>
      <w:pPr>
        <w:pStyle w:val="Heading2"/>
      </w:pPr>
      <w:r>
        <w:t>Plot-export constants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Parameter</w:t>
            </w:r>
          </w:p>
        </w:tc>
        <w:tc>
          <w:tcPr>
            <w:tcW w:type="dxa" w:w="2520"/>
          </w:tcPr>
          <w:p>
            <w:r>
              <w:rPr>
                <w:sz w:val="17"/>
              </w:rPr>
              <w:t>Default / expression</w:t>
            </w:r>
          </w:p>
        </w:tc>
        <w:tc>
          <w:tcPr>
            <w:tcW w:type="dxa" w:w="2520"/>
          </w:tcPr>
          <w:p>
            <w:r>
              <w:rPr>
                <w:sz w:val="17"/>
              </w:rPr>
              <w:t>Meaning / effect</w:t>
            </w:r>
          </w:p>
        </w:tc>
        <w:tc>
          <w:tcPr>
            <w:tcW w:type="dxa" w:w="2520"/>
          </w:tcPr>
          <w:p>
            <w:r>
              <w:rPr>
                <w:sz w:val="17"/>
              </w:rPr>
              <w:t>Source line</w:t>
            </w:r>
          </w:p>
        </w:tc>
      </w:tr>
      <w:tr>
        <w:tc>
          <w:tcPr>
            <w:tcW w:type="dxa" w:w="2520"/>
            <w:vAlign w:val="top"/>
          </w:tcPr>
          <w:p>
            <w:r>
              <w:rPr>
                <w:sz w:val="17"/>
              </w:rPr>
              <w:t>PLOT_DPI</w:t>
            </w:r>
          </w:p>
        </w:tc>
        <w:tc>
          <w:tcPr>
            <w:tcW w:type="dxa" w:w="2520"/>
            <w:vAlign w:val="top"/>
          </w:tcPr>
          <w:p>
            <w:r>
              <w:rPr>
                <w:sz w:val="17"/>
              </w:rPr>
              <w:t>350</w:t>
            </w:r>
          </w:p>
        </w:tc>
        <w:tc>
          <w:tcPr>
            <w:tcW w:type="dxa" w:w="2520"/>
            <w:vAlign w:val="top"/>
          </w:tcPr>
          <w:p>
            <w:r>
              <w:rPr>
                <w:sz w:val="17"/>
              </w:rPr>
              <w:t>Resolution used when saving publication-style plots.</w:t>
            </w:r>
          </w:p>
        </w:tc>
        <w:tc>
          <w:tcPr>
            <w:tcW w:type="dxa" w:w="2520"/>
            <w:vAlign w:val="top"/>
          </w:tcPr>
          <w:p>
            <w:r>
              <w:rPr>
                <w:sz w:val="17"/>
              </w:rPr>
              <w:t>3197</w:t>
            </w:r>
          </w:p>
        </w:tc>
      </w:tr>
      <w:tr>
        <w:tc>
          <w:tcPr>
            <w:tcW w:type="dxa" w:w="2520"/>
            <w:vAlign w:val="top"/>
          </w:tcPr>
          <w:p>
            <w:r>
              <w:rPr>
                <w:sz w:val="17"/>
              </w:rPr>
              <w:t>PLOT_COLORS</w:t>
            </w:r>
          </w:p>
        </w:tc>
        <w:tc>
          <w:tcPr>
            <w:tcW w:type="dxa" w:w="2520"/>
            <w:vAlign w:val="top"/>
          </w:tcPr>
          <w:p>
            <w:r>
              <w:rPr>
                <w:sz w:val="17"/>
              </w:rPr>
              <w:t>{</w:t>
              <w:br/>
              <w:t xml:space="preserve">    "right": "#0072B2",</w:t>
              <w:br/>
              <w:t xml:space="preserve">    "mean": "#005AB5",</w:t>
              <w:br/>
              <w:t xml:space="preserve">    "trial": "#8A8A8A",</w:t>
              <w:br/>
              <w:t xml:space="preserve">    "threshold": "#CC79A7",</w:t>
              <w:br/>
              <w:t xml:space="preserve">    "trig</w:t>
            </w:r>
          </w:p>
        </w:tc>
        <w:tc>
          <w:tcPr>
            <w:tcW w:type="dxa" w:w="2520"/>
            <w:vAlign w:val="top"/>
          </w:tcPr>
          <w:p>
            <w:r>
              <w:rPr>
                <w:sz w:val="17"/>
              </w:rPr>
              <w:t>Named color palette for plotting.</w:t>
            </w:r>
          </w:p>
        </w:tc>
        <w:tc>
          <w:tcPr>
            <w:tcW w:type="dxa" w:w="2520"/>
            <w:vAlign w:val="top"/>
          </w:tcPr>
          <w:p>
            <w:r>
              <w:rPr>
                <w:sz w:val="17"/>
              </w:rPr>
              <w:t>3198</w:t>
            </w:r>
          </w:p>
        </w:tc>
      </w:tr>
    </w:tbl>
    <w:p>
      <w:pPr>
        <w:pStyle w:val="Heading1"/>
      </w:pPr>
      <w:r>
        <w:t>19. Core function and class catalog</w:t>
      </w:r>
    </w:p>
    <w:p>
      <w:r>
        <w:t>This appendix lists every top-level function/class in the supplied file. It is intended as an implementation map rather than a substitute for the detailed algorithm sections above.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sz w:val="17"/>
              </w:rPr>
              <w:t>Lines</w:t>
            </w:r>
          </w:p>
        </w:tc>
        <w:tc>
          <w:tcPr>
            <w:tcW w:type="dxa" w:w="2520"/>
          </w:tcPr>
          <w:p>
            <w:r>
              <w:rPr>
                <w:sz w:val="17"/>
              </w:rPr>
              <w:t>Type</w:t>
            </w:r>
          </w:p>
        </w:tc>
        <w:tc>
          <w:tcPr>
            <w:tcW w:type="dxa" w:w="2520"/>
          </w:tcPr>
          <w:p>
            <w:r>
              <w:rPr>
                <w:sz w:val="17"/>
              </w:rPr>
              <w:t>Function / class</w:t>
            </w:r>
          </w:p>
        </w:tc>
        <w:tc>
          <w:tcPr>
            <w:tcW w:type="dxa" w:w="2520"/>
          </w:tcPr>
          <w:p>
            <w:r>
              <w:rPr>
                <w:sz w:val="17"/>
              </w:rPr>
              <w:t>Purpose (from code/docstring)</w:t>
            </w:r>
          </w:p>
        </w:tc>
      </w:tr>
      <w:tr>
        <w:tc>
          <w:tcPr>
            <w:tcW w:type="dxa" w:w="2520"/>
          </w:tcPr>
          <w:p>
            <w:r>
              <w:rPr>
                <w:sz w:val="17"/>
              </w:rPr>
              <w:t>344–354</w:t>
            </w:r>
          </w:p>
        </w:tc>
        <w:tc>
          <w:tcPr>
            <w:tcW w:type="dxa" w:w="2520"/>
          </w:tcPr>
          <w:p>
            <w:r>
              <w:rPr>
                <w:sz w:val="17"/>
              </w:rPr>
              <w:t>Function</w:t>
            </w:r>
          </w:p>
        </w:tc>
        <w:tc>
          <w:tcPr>
            <w:tcW w:type="dxa" w:w="2520"/>
          </w:tcPr>
          <w:p>
            <w:r>
              <w:rPr>
                <w:sz w:val="17"/>
              </w:rPr>
              <w:t>apply_plot_style(ax, title, xlabel, ylabel)</w:t>
            </w:r>
          </w:p>
        </w:tc>
        <w:tc>
          <w:tcPr>
            <w:tcW w:type="dxa" w:w="2520"/>
          </w:tcPr>
          <w:p>
            <w:r>
              <w:rPr>
                <w:sz w:val="17"/>
              </w:rPr>
              <w:t>Internal helper; purpose inferred from its implementation and call sites.</w:t>
            </w:r>
          </w:p>
        </w:tc>
      </w:tr>
      <w:tr>
        <w:tc>
          <w:tcPr>
            <w:tcW w:type="dxa" w:w="2520"/>
          </w:tcPr>
          <w:p>
            <w:r>
              <w:rPr>
                <w:sz w:val="17"/>
              </w:rPr>
              <w:t>357–362</w:t>
            </w:r>
          </w:p>
        </w:tc>
        <w:tc>
          <w:tcPr>
            <w:tcW w:type="dxa" w:w="2520"/>
          </w:tcPr>
          <w:p>
            <w:r>
              <w:rPr>
                <w:sz w:val="17"/>
              </w:rPr>
              <w:t>Function</w:t>
            </w:r>
          </w:p>
        </w:tc>
        <w:tc>
          <w:tcPr>
            <w:tcW w:type="dxa" w:w="2520"/>
          </w:tcPr>
          <w:p>
            <w:r>
              <w:rPr>
                <w:sz w:val="17"/>
              </w:rPr>
              <w:t>bold_legend(ax)</w:t>
            </w:r>
          </w:p>
        </w:tc>
        <w:tc>
          <w:tcPr>
            <w:tcW w:type="dxa" w:w="2520"/>
          </w:tcPr>
          <w:p>
            <w:r>
              <w:rPr>
                <w:sz w:val="17"/>
              </w:rPr>
              <w:t>Internal helper; purpose inferred from its implementation and call sites.</w:t>
            </w:r>
          </w:p>
        </w:tc>
      </w:tr>
      <w:tr>
        <w:tc>
          <w:tcPr>
            <w:tcW w:type="dxa" w:w="2520"/>
          </w:tcPr>
          <w:p>
            <w:r>
              <w:rPr>
                <w:sz w:val="17"/>
              </w:rPr>
              <w:t>524–526</w:t>
            </w:r>
          </w:p>
        </w:tc>
        <w:tc>
          <w:tcPr>
            <w:tcW w:type="dxa" w:w="2520"/>
          </w:tcPr>
          <w:p>
            <w:r>
              <w:rPr>
                <w:sz w:val="17"/>
              </w:rPr>
              <w:t>Function</w:t>
            </w:r>
          </w:p>
        </w:tc>
        <w:tc>
          <w:tcPr>
            <w:tcW w:type="dxa" w:w="2520"/>
          </w:tcPr>
          <w:p>
            <w:r>
              <w:rPr>
                <w:sz w:val="17"/>
              </w:rPr>
              <w:t>required_go_duration_s()</w:t>
            </w:r>
          </w:p>
        </w:tc>
        <w:tc>
          <w:tcPr>
            <w:tcW w:type="dxa" w:w="2520"/>
          </w:tcPr>
          <w:p>
            <w:r>
              <w:rPr>
                <w:sz w:val="17"/>
              </w:rPr>
              <w:t>Minimum GO_DURATION_S needed for the adaptive checking window.</w:t>
            </w:r>
          </w:p>
        </w:tc>
      </w:tr>
      <w:tr>
        <w:tc>
          <w:tcPr>
            <w:tcW w:type="dxa" w:w="2520"/>
          </w:tcPr>
          <w:p>
            <w:r>
              <w:rPr>
                <w:sz w:val="17"/>
              </w:rPr>
              <w:t>529–583</w:t>
            </w:r>
          </w:p>
        </w:tc>
        <w:tc>
          <w:tcPr>
            <w:tcW w:type="dxa" w:w="2520"/>
          </w:tcPr>
          <w:p>
            <w:r>
              <w:rPr>
                <w:sz w:val="17"/>
              </w:rPr>
              <w:t>Function</w:t>
            </w:r>
          </w:p>
        </w:tc>
        <w:tc>
          <w:tcPr>
            <w:tcW w:type="dxa" w:w="2520"/>
          </w:tcPr>
          <w:p>
            <w:r>
              <w:rPr>
                <w:sz w:val="17"/>
              </w:rPr>
              <w:t>validate_and_fix_timing()</w:t>
            </w:r>
          </w:p>
        </w:tc>
        <w:tc>
          <w:tcPr>
            <w:tcW w:type="dxa" w:w="2520"/>
          </w:tcPr>
          <w:p>
            <w:r>
              <w:rPr>
                <w:sz w:val="17"/>
              </w:rPr>
              <w:t>Re-validate the (possibly operator-edited) timing globals.</w:t>
            </w:r>
          </w:p>
        </w:tc>
      </w:tr>
      <w:tr>
        <w:tc>
          <w:tcPr>
            <w:tcW w:type="dxa" w:w="2520"/>
          </w:tcPr>
          <w:p>
            <w:r>
              <w:rPr>
                <w:sz w:val="17"/>
              </w:rPr>
              <w:t>668–703</w:t>
            </w:r>
          </w:p>
        </w:tc>
        <w:tc>
          <w:tcPr>
            <w:tcW w:type="dxa" w:w="2520"/>
          </w:tcPr>
          <w:p>
            <w:r>
              <w:rPr>
                <w:sz w:val="17"/>
              </w:rPr>
              <w:t>Class</w:t>
            </w:r>
          </w:p>
        </w:tc>
        <w:tc>
          <w:tcPr>
            <w:tcW w:type="dxa" w:w="2520"/>
          </w:tcPr>
          <w:p>
            <w:r>
              <w:rPr>
                <w:sz w:val="17"/>
              </w:rPr>
              <w:t>ForceBuffer</w:t>
            </w:r>
          </w:p>
        </w:tc>
        <w:tc>
          <w:tcPr>
            <w:tcW w:type="dxa" w:w="2520"/>
          </w:tcPr>
          <w:p>
            <w:r>
              <w:rPr>
                <w:sz w:val="17"/>
              </w:rPr>
              <w:t>Thread-safe storage for force samples.</w:t>
            </w:r>
          </w:p>
        </w:tc>
      </w:tr>
      <w:tr>
        <w:tc>
          <w:tcPr>
            <w:tcW w:type="dxa" w:w="2520"/>
          </w:tcPr>
          <w:p>
            <w:r>
              <w:rPr>
                <w:sz w:val="17"/>
              </w:rPr>
              <w:t>720–737</w:t>
            </w:r>
          </w:p>
        </w:tc>
        <w:tc>
          <w:tcPr>
            <w:tcW w:type="dxa" w:w="2520"/>
          </w:tcPr>
          <w:p>
            <w:r>
              <w:rPr>
                <w:sz w:val="17"/>
              </w:rPr>
              <w:t>Class</w:t>
            </w:r>
          </w:p>
        </w:tc>
        <w:tc>
          <w:tcPr>
            <w:tcW w:type="dxa" w:w="2520"/>
          </w:tcPr>
          <w:p>
            <w:r>
              <w:rPr>
                <w:sz w:val="17"/>
              </w:rPr>
              <w:t>Calibration</w:t>
            </w:r>
          </w:p>
        </w:tc>
        <w:tc>
          <w:tcPr>
            <w:tcW w:type="dxa" w:w="2520"/>
          </w:tcPr>
          <w:p>
            <w:r>
              <w:rPr>
                <w:sz w:val="17"/>
              </w:rPr>
              <w:t>Right-handle resting baseline and maximum deflection.</w:t>
            </w:r>
          </w:p>
        </w:tc>
      </w:tr>
      <w:tr>
        <w:tc>
          <w:tcPr>
            <w:tcW w:type="dxa" w:w="2520"/>
          </w:tcPr>
          <w:p>
            <w:r>
              <w:rPr>
                <w:sz w:val="17"/>
              </w:rPr>
              <w:t>744–756</w:t>
            </w:r>
          </w:p>
        </w:tc>
        <w:tc>
          <w:tcPr>
            <w:tcW w:type="dxa" w:w="2520"/>
          </w:tcPr>
          <w:p>
            <w:r>
              <w:rPr>
                <w:sz w:val="17"/>
              </w:rPr>
              <w:t>Function</w:t>
            </w:r>
          </w:p>
        </w:tc>
        <w:tc>
          <w:tcPr>
            <w:tcW w:type="dxa" w:w="2520"/>
          </w:tcPr>
          <w:p>
            <w:r>
              <w:rPr>
                <w:sz w:val="17"/>
              </w:rPr>
              <w:t>raw_to_deflection(raw, baseline)</w:t>
            </w:r>
          </w:p>
        </w:tc>
        <w:tc>
          <w:tcPr>
            <w:tcW w:type="dxa" w:w="2520"/>
          </w:tcPr>
          <w:p>
            <w:r>
              <w:rPr>
                <w:sz w:val="17"/>
              </w:rPr>
              <w:t>Signed distance from rest, deadzoned, in RAW AXIS UNITS.</w:t>
            </w:r>
          </w:p>
        </w:tc>
      </w:tr>
      <w:tr>
        <w:tc>
          <w:tcPr>
            <w:tcW w:type="dxa" w:w="2520"/>
          </w:tcPr>
          <w:p>
            <w:r>
              <w:rPr>
                <w:sz w:val="17"/>
              </w:rPr>
              <w:t>759–778</w:t>
            </w:r>
          </w:p>
        </w:tc>
        <w:tc>
          <w:tcPr>
            <w:tcW w:type="dxa" w:w="2520"/>
          </w:tcPr>
          <w:p>
            <w:r>
              <w:rPr>
                <w:sz w:val="17"/>
              </w:rPr>
              <w:t>Function</w:t>
            </w:r>
          </w:p>
        </w:tc>
        <w:tc>
          <w:tcPr>
            <w:tcW w:type="dxa" w:w="2520"/>
          </w:tcPr>
          <w:p>
            <w:r>
              <w:rPr>
                <w:sz w:val="17"/>
              </w:rPr>
              <w:t>deflection_to_force(deflection, max_deflection)</w:t>
            </w:r>
          </w:p>
        </w:tc>
        <w:tc>
          <w:tcPr>
            <w:tcW w:type="dxa" w:w="2520"/>
          </w:tcPr>
          <w:p>
            <w:r>
              <w:rPr>
                <w:sz w:val="17"/>
              </w:rPr>
              <w:t>Participant-normalised force.</w:t>
            </w:r>
          </w:p>
        </w:tc>
      </w:tr>
      <w:tr>
        <w:tc>
          <w:tcPr>
            <w:tcW w:type="dxa" w:w="2520"/>
          </w:tcPr>
          <w:p>
            <w:r>
              <w:rPr>
                <w:sz w:val="17"/>
              </w:rPr>
              <w:t>781–784</w:t>
            </w:r>
          </w:p>
        </w:tc>
        <w:tc>
          <w:tcPr>
            <w:tcW w:type="dxa" w:w="2520"/>
          </w:tcPr>
          <w:p>
            <w:r>
              <w:rPr>
                <w:sz w:val="17"/>
              </w:rPr>
              <w:t>Function</w:t>
            </w:r>
          </w:p>
        </w:tc>
        <w:tc>
          <w:tcPr>
            <w:tcW w:type="dxa" w:w="2520"/>
          </w:tcPr>
          <w:p>
            <w:r>
              <w:rPr>
                <w:sz w:val="17"/>
              </w:rPr>
              <w:t>read_raw_axes(joystick)</w:t>
            </w:r>
          </w:p>
        </w:tc>
        <w:tc>
          <w:tcPr>
            <w:tcW w:type="dxa" w:w="2520"/>
          </w:tcPr>
          <w:p>
            <w:r>
              <w:rPr>
                <w:sz w:val="17"/>
              </w:rPr>
              <w:t>Read the RIGHT handle axis only.</w:t>
            </w:r>
          </w:p>
        </w:tc>
      </w:tr>
      <w:tr>
        <w:tc>
          <w:tcPr>
            <w:tcW w:type="dxa" w:w="2520"/>
          </w:tcPr>
          <w:p>
            <w:r>
              <w:rPr>
                <w:sz w:val="17"/>
              </w:rPr>
              <w:t>790–801</w:t>
            </w:r>
          </w:p>
        </w:tc>
        <w:tc>
          <w:tcPr>
            <w:tcW w:type="dxa" w:w="2520"/>
          </w:tcPr>
          <w:p>
            <w:r>
              <w:rPr>
                <w:sz w:val="17"/>
              </w:rPr>
              <w:t>Function</w:t>
            </w:r>
          </w:p>
        </w:tc>
        <w:tc>
          <w:tcPr>
            <w:tcW w:type="dxa" w:w="2520"/>
          </w:tcPr>
          <w:p>
            <w:r>
              <w:rPr>
                <w:sz w:val="17"/>
              </w:rPr>
              <w:t>acquire_force_sample(joystick, start_time, calibration)</w:t>
            </w:r>
          </w:p>
        </w:tc>
        <w:tc>
          <w:tcPr>
            <w:tcW w:type="dxa" w:w="2520"/>
          </w:tcPr>
          <w:p>
            <w:r>
              <w:rPr>
                <w:sz w:val="17"/>
              </w:rPr>
              <w:t>Acquire one participant-normalised RIGHT-handle force sample.</w:t>
            </w:r>
          </w:p>
        </w:tc>
      </w:tr>
      <w:tr>
        <w:tc>
          <w:tcPr>
            <w:tcW w:type="dxa" w:w="2520"/>
          </w:tcPr>
          <w:p>
            <w:r>
              <w:rPr>
                <w:sz w:val="17"/>
              </w:rPr>
              <w:t>803–804</w:t>
            </w:r>
          </w:p>
        </w:tc>
        <w:tc>
          <w:tcPr>
            <w:tcW w:type="dxa" w:w="2520"/>
          </w:tcPr>
          <w:p>
            <w:r>
              <w:rPr>
                <w:sz w:val="17"/>
              </w:rPr>
              <w:t>Function</w:t>
            </w:r>
          </w:p>
        </w:tc>
        <w:tc>
          <w:tcPr>
            <w:tcW w:type="dxa" w:w="2520"/>
          </w:tcPr>
          <w:p>
            <w:r>
              <w:rPr>
                <w:sz w:val="17"/>
              </w:rPr>
              <w:t>get_grip_samples_numpy()</w:t>
            </w:r>
          </w:p>
        </w:tc>
        <w:tc>
          <w:tcPr>
            <w:tcW w:type="dxa" w:w="2520"/>
          </w:tcPr>
          <w:p>
            <w:r>
              <w:rPr>
                <w:sz w:val="17"/>
              </w:rPr>
              <w:t>Internal helper; purpose inferred from its implementation and call sites.</w:t>
            </w:r>
          </w:p>
        </w:tc>
      </w:tr>
      <w:tr>
        <w:tc>
          <w:tcPr>
            <w:tcW w:type="dxa" w:w="2520"/>
          </w:tcPr>
          <w:p>
            <w:r>
              <w:rPr>
                <w:sz w:val="17"/>
              </w:rPr>
              <w:t>807–811</w:t>
            </w:r>
          </w:p>
        </w:tc>
        <w:tc>
          <w:tcPr>
            <w:tcW w:type="dxa" w:w="2520"/>
          </w:tcPr>
          <w:p>
            <w:r>
              <w:rPr>
                <w:sz w:val="17"/>
              </w:rPr>
              <w:t>Function</w:t>
            </w:r>
          </w:p>
        </w:tc>
        <w:tc>
          <w:tcPr>
            <w:tcW w:type="dxa" w:w="2520"/>
          </w:tcPr>
          <w:p>
            <w:r>
              <w:rPr>
                <w:sz w:val="17"/>
              </w:rPr>
              <w:t>clear_force_buffer()</w:t>
            </w:r>
          </w:p>
        </w:tc>
        <w:tc>
          <w:tcPr>
            <w:tcW w:type="dxa" w:w="2520"/>
          </w:tcPr>
          <w:p>
            <w:r>
              <w:rPr>
                <w:sz w:val="17"/>
              </w:rPr>
              <w:t>Remove samples between experiment phases so timestamps cannot overlap.</w:t>
            </w:r>
          </w:p>
        </w:tc>
      </w:tr>
      <w:tr>
        <w:tc>
          <w:tcPr>
            <w:tcW w:type="dxa" w:w="2520"/>
          </w:tcPr>
          <w:p>
            <w:r>
              <w:rPr>
                <w:sz w:val="17"/>
              </w:rPr>
              <w:t>814–815</w:t>
            </w:r>
          </w:p>
        </w:tc>
        <w:tc>
          <w:tcPr>
            <w:tcW w:type="dxa" w:w="2520"/>
          </w:tcPr>
          <w:p>
            <w:r>
              <w:rPr>
                <w:sz w:val="17"/>
              </w:rPr>
              <w:t>Function</w:t>
            </w:r>
          </w:p>
        </w:tc>
        <w:tc>
          <w:tcPr>
            <w:tcW w:type="dxa" w:w="2520"/>
          </w:tcPr>
          <w:p>
            <w:r>
              <w:rPr>
                <w:sz w:val="17"/>
              </w:rPr>
              <w:t>get_recent_samples_numpy()</w:t>
            </w:r>
          </w:p>
        </w:tc>
        <w:tc>
          <w:tcPr>
            <w:tcW w:type="dxa" w:w="2520"/>
          </w:tcPr>
          <w:p>
            <w:r>
              <w:rPr>
                <w:sz w:val="17"/>
              </w:rPr>
              <w:t>Internal helper; purpose inferred from its implementation and call sites.</w:t>
            </w:r>
          </w:p>
        </w:tc>
      </w:tr>
      <w:tr>
        <w:tc>
          <w:tcPr>
            <w:tcW w:type="dxa" w:w="2520"/>
          </w:tcPr>
          <w:p>
            <w:r>
              <w:rPr>
                <w:sz w:val="17"/>
              </w:rPr>
              <w:t>822–853</w:t>
            </w:r>
          </w:p>
        </w:tc>
        <w:tc>
          <w:tcPr>
            <w:tcW w:type="dxa" w:w="2520"/>
          </w:tcPr>
          <w:p>
            <w:r>
              <w:rPr>
                <w:sz w:val="17"/>
              </w:rPr>
              <w:t>Function</w:t>
            </w:r>
          </w:p>
        </w:tc>
        <w:tc>
          <w:tcPr>
            <w:tcW w:type="dxa" w:w="2520"/>
          </w:tcPr>
          <w:p>
            <w:r>
              <w:rPr>
                <w:sz w:val="17"/>
              </w:rPr>
              <w:t>list_joysticks()</w:t>
            </w:r>
          </w:p>
        </w:tc>
        <w:tc>
          <w:tcPr>
            <w:tcW w:type="dxa" w:w="2520"/>
          </w:tcPr>
          <w:p>
            <w:r>
              <w:rPr>
                <w:sz w:val="17"/>
              </w:rPr>
              <w:t>Internal helper; purpose inferred from its implementation and call sites.</w:t>
            </w:r>
          </w:p>
        </w:tc>
      </w:tr>
      <w:tr>
        <w:tc>
          <w:tcPr>
            <w:tcW w:type="dxa" w:w="2520"/>
          </w:tcPr>
          <w:p>
            <w:r>
              <w:rPr>
                <w:sz w:val="17"/>
              </w:rPr>
              <w:t>856–864</w:t>
            </w:r>
          </w:p>
        </w:tc>
        <w:tc>
          <w:tcPr>
            <w:tcW w:type="dxa" w:w="2520"/>
          </w:tcPr>
          <w:p>
            <w:r>
              <w:rPr>
                <w:sz w:val="17"/>
              </w:rPr>
              <w:t>Function</w:t>
            </w:r>
          </w:p>
        </w:tc>
        <w:tc>
          <w:tcPr>
            <w:tcW w:type="dxa" w:w="2520"/>
          </w:tcPr>
          <w:p>
            <w:r>
              <w:rPr>
                <w:sz w:val="17"/>
              </w:rPr>
              <w:t>diagnose_axes(joystick, duration_s)</w:t>
            </w:r>
          </w:p>
        </w:tc>
        <w:tc>
          <w:tcPr>
            <w:tcW w:type="dxa" w:w="2520"/>
          </w:tcPr>
          <w:p>
            <w:r>
              <w:rPr>
                <w:sz w:val="17"/>
              </w:rPr>
              <w:t>Optional helper: print the raw RIGHT-handle axis value.</w:t>
            </w:r>
          </w:p>
        </w:tc>
      </w:tr>
      <w:tr>
        <w:tc>
          <w:tcPr>
            <w:tcW w:type="dxa" w:w="2520"/>
          </w:tcPr>
          <w:p>
            <w:r>
              <w:rPr>
                <w:sz w:val="17"/>
              </w:rPr>
              <w:t>870–911</w:t>
            </w:r>
          </w:p>
        </w:tc>
        <w:tc>
          <w:tcPr>
            <w:tcW w:type="dxa" w:w="2520"/>
          </w:tcPr>
          <w:p>
            <w:r>
              <w:rPr>
                <w:sz w:val="17"/>
              </w:rPr>
              <w:t>Function</w:t>
            </w:r>
          </w:p>
        </w:tc>
        <w:tc>
          <w:tcPr>
            <w:tcW w:type="dxa" w:w="2520"/>
          </w:tcPr>
          <w:p>
            <w:r>
              <w:rPr>
                <w:sz w:val="17"/>
              </w:rPr>
              <w:t>open_on_second_screen()</w:t>
            </w:r>
          </w:p>
        </w:tc>
        <w:tc>
          <w:tcPr>
            <w:tcW w:type="dxa" w:w="2520"/>
          </w:tcPr>
          <w:p>
            <w:r>
              <w:rPr>
                <w:sz w:val="17"/>
              </w:rPr>
              <w:t>Internal helper; purpose inferred from its implementation and call sites.</w:t>
            </w:r>
          </w:p>
        </w:tc>
      </w:tr>
      <w:tr>
        <w:tc>
          <w:tcPr>
            <w:tcW w:type="dxa" w:w="2520"/>
          </w:tcPr>
          <w:p>
            <w:r>
              <w:rPr>
                <w:sz w:val="17"/>
              </w:rPr>
              <w:t>921–924</w:t>
            </w:r>
          </w:p>
        </w:tc>
        <w:tc>
          <w:tcPr>
            <w:tcW w:type="dxa" w:w="2520"/>
          </w:tcPr>
          <w:p>
            <w:r>
              <w:rPr>
                <w:sz w:val="17"/>
              </w:rPr>
              <w:t>Function</w:t>
            </w:r>
          </w:p>
        </w:tc>
        <w:tc>
          <w:tcPr>
            <w:tcW w:type="dxa" w:w="2520"/>
          </w:tcPr>
          <w:p>
            <w:r>
              <w:rPr>
                <w:sz w:val="17"/>
              </w:rPr>
              <w:t>get_font(size)</w:t>
            </w:r>
          </w:p>
        </w:tc>
        <w:tc>
          <w:tcPr>
            <w:tcW w:type="dxa" w:w="2520"/>
          </w:tcPr>
          <w:p>
            <w:r>
              <w:rPr>
                <w:sz w:val="17"/>
              </w:rPr>
              <w:t>Internal helper; purpose inferred from its implementation and call sites.</w:t>
            </w:r>
          </w:p>
        </w:tc>
      </w:tr>
      <w:tr>
        <w:tc>
          <w:tcPr>
            <w:tcW w:type="dxa" w:w="2520"/>
          </w:tcPr>
          <w:p>
            <w:r>
              <w:rPr>
                <w:sz w:val="17"/>
              </w:rPr>
              <w:t>927–945</w:t>
            </w:r>
          </w:p>
        </w:tc>
        <w:tc>
          <w:tcPr>
            <w:tcW w:type="dxa" w:w="2520"/>
          </w:tcPr>
          <w:p>
            <w:r>
              <w:rPr>
                <w:sz w:val="17"/>
              </w:rPr>
              <w:t>Function</w:t>
            </w:r>
          </w:p>
        </w:tc>
        <w:tc>
          <w:tcPr>
            <w:tcW w:type="dxa" w:w="2520"/>
          </w:tcPr>
          <w:p>
            <w:r>
              <w:rPr>
                <w:sz w:val="17"/>
              </w:rPr>
              <w:t>show_text(text, color, screen, size, y_center)</w:t>
            </w:r>
          </w:p>
        </w:tc>
        <w:tc>
          <w:tcPr>
            <w:tcW w:type="dxa" w:w="2520"/>
          </w:tcPr>
          <w:p>
            <w:r>
              <w:rPr>
                <w:sz w:val="17"/>
              </w:rPr>
              <w:t>Internal helper; purpose inferred from its implementation and call sites.</w:t>
            </w:r>
          </w:p>
        </w:tc>
      </w:tr>
      <w:tr>
        <w:tc>
          <w:tcPr>
            <w:tcW w:type="dxa" w:w="2520"/>
          </w:tcPr>
          <w:p>
            <w:r>
              <w:rPr>
                <w:sz w:val="17"/>
              </w:rPr>
              <w:t>952–974</w:t>
            </w:r>
          </w:p>
        </w:tc>
        <w:tc>
          <w:tcPr>
            <w:tcW w:type="dxa" w:w="2520"/>
          </w:tcPr>
          <w:p>
            <w:r>
              <w:rPr>
                <w:sz w:val="17"/>
              </w:rPr>
              <w:t>Function</w:t>
            </w:r>
          </w:p>
        </w:tc>
        <w:tc>
          <w:tcPr>
            <w:tcW w:type="dxa" w:w="2520"/>
          </w:tcPr>
          <w:p>
            <w:r>
              <w:rPr>
                <w:sz w:val="17"/>
              </w:rPr>
              <w:t>draw_menu_button(screen, rect, text, enabled, hovered, selected)</w:t>
            </w:r>
          </w:p>
        </w:tc>
        <w:tc>
          <w:tcPr>
            <w:tcW w:type="dxa" w:w="2520"/>
          </w:tcPr>
          <w:p>
            <w:r>
              <w:rPr>
                <w:sz w:val="17"/>
              </w:rPr>
              <w:t>Draw one startup-menu button with a persistent selected state.</w:t>
            </w:r>
          </w:p>
        </w:tc>
      </w:tr>
      <w:tr>
        <w:tc>
          <w:tcPr>
            <w:tcW w:type="dxa" w:w="2520"/>
          </w:tcPr>
          <w:p>
            <w:r>
              <w:rPr>
                <w:sz w:val="17"/>
              </w:rPr>
              <w:t>977–990</w:t>
            </w:r>
          </w:p>
        </w:tc>
        <w:tc>
          <w:tcPr>
            <w:tcW w:type="dxa" w:w="2520"/>
          </w:tcPr>
          <w:p>
            <w:r>
              <w:rPr>
                <w:sz w:val="17"/>
              </w:rPr>
              <w:t>Function</w:t>
            </w:r>
          </w:p>
        </w:tc>
        <w:tc>
          <w:tcPr>
            <w:tcW w:type="dxa" w:w="2520"/>
          </w:tcPr>
          <w:p>
            <w:r>
              <w:rPr>
                <w:sz w:val="17"/>
              </w:rPr>
              <w:t>make_rfd_checkpoints(end_s)</w:t>
            </w:r>
          </w:p>
        </w:tc>
        <w:tc>
          <w:tcPr>
            <w:tcW w:type="dxa" w:w="2520"/>
          </w:tcPr>
          <w:p>
            <w:r>
              <w:rPr>
                <w:sz w:val="17"/>
              </w:rPr>
              <w:t>Build the onset-anchored checkpoint grid up to an individualized end.</w:t>
            </w:r>
          </w:p>
        </w:tc>
      </w:tr>
      <w:tr>
        <w:tc>
          <w:tcPr>
            <w:tcW w:type="dxa" w:w="2520"/>
          </w:tcPr>
          <w:p>
            <w:r>
              <w:rPr>
                <w:sz w:val="17"/>
              </w:rPr>
              <w:t>993–1037</w:t>
            </w:r>
          </w:p>
        </w:tc>
        <w:tc>
          <w:tcPr>
            <w:tcW w:type="dxa" w:w="2520"/>
          </w:tcPr>
          <w:p>
            <w:r>
              <w:rPr>
                <w:sz w:val="17"/>
              </w:rPr>
              <w:t>Function</w:t>
            </w:r>
          </w:p>
        </w:tc>
        <w:tc>
          <w:tcPr>
            <w:tcW w:type="dxa" w:w="2520"/>
          </w:tcPr>
          <w:p>
            <w:r>
              <w:rPr>
                <w:sz w:val="17"/>
              </w:rPr>
              <w:t>calculate_time_to_force_plateau(t, force)</w:t>
            </w:r>
          </w:p>
        </w:tc>
        <w:tc>
          <w:tcPr>
            <w:tcW w:type="dxa" w:w="2520"/>
          </w:tcPr>
          <w:p>
            <w:r>
              <w:rPr>
                <w:sz w:val="17"/>
              </w:rPr>
              <w:t>Estimate time from force onset to the maximum-force plateau for one trial.</w:t>
            </w:r>
          </w:p>
        </w:tc>
      </w:tr>
      <w:tr>
        <w:tc>
          <w:tcPr>
            <w:tcW w:type="dxa" w:w="2520"/>
          </w:tcPr>
          <w:p>
            <w:r>
              <w:rPr>
                <w:sz w:val="17"/>
              </w:rPr>
              <w:t>1040–1052</w:t>
            </w:r>
          </w:p>
        </w:tc>
        <w:tc>
          <w:tcPr>
            <w:tcW w:type="dxa" w:w="2520"/>
          </w:tcPr>
          <w:p>
            <w:r>
              <w:rPr>
                <w:sz w:val="17"/>
              </w:rPr>
              <w:t>Function</w:t>
            </w:r>
          </w:p>
        </w:tc>
        <w:tc>
          <w:tcPr>
            <w:tcW w:type="dxa" w:w="2520"/>
          </w:tcPr>
          <w:p>
            <w:r>
              <w:rPr>
                <w:sz w:val="17"/>
              </w:rPr>
              <w:t>_average_checkpoint_history(checkpoint_history, checkpoints)</w:t>
            </w:r>
          </w:p>
        </w:tc>
        <w:tc>
          <w:tcPr>
            <w:tcW w:type="dxa" w:w="2520"/>
          </w:tcPr>
          <w:p>
            <w:r>
              <w:rPr>
                <w:sz w:val="17"/>
              </w:rPr>
              <w:t>Mean RFD at each checkpoint across valid baseline trials.</w:t>
            </w:r>
          </w:p>
        </w:tc>
      </w:tr>
      <w:tr>
        <w:tc>
          <w:tcPr>
            <w:tcW w:type="dxa" w:w="2520"/>
          </w:tcPr>
          <w:p>
            <w:r>
              <w:rPr>
                <w:sz w:val="17"/>
              </w:rPr>
              <w:t>1055–1064</w:t>
            </w:r>
          </w:p>
        </w:tc>
        <w:tc>
          <w:tcPr>
            <w:tcW w:type="dxa" w:w="2520"/>
          </w:tcPr>
          <w:p>
            <w:r>
              <w:rPr>
                <w:sz w:val="17"/>
              </w:rPr>
              <w:t>Function</w:t>
            </w:r>
          </w:p>
        </w:tc>
        <w:tc>
          <w:tcPr>
            <w:tcW w:type="dxa" w:w="2520"/>
          </w:tcPr>
          <w:p>
            <w:r>
              <w:rPr>
                <w:sz w:val="17"/>
              </w:rPr>
              <w:t>_draw_phase_header(screen, title, subtitle, trial_number, total_trials)</w:t>
            </w:r>
          </w:p>
        </w:tc>
        <w:tc>
          <w:tcPr>
            <w:tcW w:type="dxa" w:w="2520"/>
          </w:tcPr>
          <w:p>
            <w:r>
              <w:rPr>
                <w:sz w:val="17"/>
              </w:rPr>
              <w:t>Small phase label shown during familiarization/baseline runs.</w:t>
            </w:r>
          </w:p>
        </w:tc>
      </w:tr>
      <w:tr>
        <w:tc>
          <w:tcPr>
            <w:tcW w:type="dxa" w:w="2520"/>
          </w:tcPr>
          <w:p>
            <w:r>
              <w:rPr>
                <w:sz w:val="17"/>
              </w:rPr>
              <w:t>1067–1303</w:t>
            </w:r>
          </w:p>
        </w:tc>
        <w:tc>
          <w:tcPr>
            <w:tcW w:type="dxa" w:w="2520"/>
          </w:tcPr>
          <w:p>
            <w:r>
              <w:rPr>
                <w:sz w:val="17"/>
              </w:rPr>
              <w:t>Function</w:t>
            </w:r>
          </w:p>
        </w:tc>
        <w:tc>
          <w:tcPr>
            <w:tcW w:type="dxa" w:w="2520"/>
          </w:tcPr>
          <w:p>
            <w:r>
              <w:rPr>
                <w:sz w:val="17"/>
              </w:rPr>
              <w:t>run_pre_task_phase(screen, joystick, calibration, right_rect, phase, n_trials)</w:t>
            </w:r>
          </w:p>
        </w:tc>
        <w:tc>
          <w:tcPr>
            <w:tcW w:type="dxa" w:w="2520"/>
          </w:tcPr>
          <w:p>
            <w:r>
              <w:rPr>
                <w:sz w:val="17"/>
              </w:rPr>
              <w:t>Run Familiarization or Baseline without adaptive/TMS triggering.</w:t>
            </w:r>
          </w:p>
        </w:tc>
      </w:tr>
      <w:tr>
        <w:tc>
          <w:tcPr>
            <w:tcW w:type="dxa" w:w="2520"/>
          </w:tcPr>
          <w:p>
            <w:r>
              <w:rPr>
                <w:sz w:val="17"/>
              </w:rPr>
              <w:t>1306–1827</w:t>
            </w:r>
          </w:p>
        </w:tc>
        <w:tc>
          <w:tcPr>
            <w:tcW w:type="dxa" w:w="2520"/>
          </w:tcPr>
          <w:p>
            <w:r>
              <w:rPr>
                <w:sz w:val="17"/>
              </w:rPr>
              <w:t>Function</w:t>
            </w:r>
          </w:p>
        </w:tc>
        <w:tc>
          <w:tcPr>
            <w:tcW w:type="dxa" w:w="2520"/>
          </w:tcPr>
          <w:p>
            <w:r>
              <w:rPr>
                <w:sz w:val="17"/>
              </w:rPr>
              <w:t>startup_menu(screen, joystick, right_rect, calibration, baseline_result, subject_id, session_id, block_id, trigger_mode, stimulation_metric_mode, show_loadbar)</w:t>
            </w:r>
          </w:p>
        </w:tc>
        <w:tc>
          <w:tcPr>
            <w:tcW w:type="dxa" w:w="2520"/>
          </w:tcPr>
          <w:p>
            <w:r>
              <w:rPr>
                <w:sz w:val="17"/>
              </w:rPr>
              <w:t>Operator interface controlling the full experiment flow.</w:t>
            </w:r>
          </w:p>
        </w:tc>
      </w:tr>
      <w:tr>
        <w:tc>
          <w:tcPr>
            <w:tcW w:type="dxa" w:w="2520"/>
          </w:tcPr>
          <w:p>
            <w:r>
              <w:rPr>
                <w:sz w:val="17"/>
              </w:rPr>
              <w:t>1830–1833</w:t>
            </w:r>
          </w:p>
        </w:tc>
        <w:tc>
          <w:tcPr>
            <w:tcW w:type="dxa" w:w="2520"/>
          </w:tcPr>
          <w:p>
            <w:r>
              <w:rPr>
                <w:sz w:val="17"/>
              </w:rPr>
              <w:t>Function</w:t>
            </w:r>
          </w:p>
        </w:tc>
        <w:tc>
          <w:tcPr>
            <w:tcW w:type="dxa" w:w="2520"/>
          </w:tcPr>
          <w:p>
            <w:r>
              <w:rPr>
                <w:sz w:val="17"/>
              </w:rPr>
              <w:t>show_end_screen(screen)</w:t>
            </w:r>
          </w:p>
        </w:tc>
        <w:tc>
          <w:tcPr>
            <w:tcW w:type="dxa" w:w="2520"/>
          </w:tcPr>
          <w:p>
            <w:r>
              <w:rPr>
                <w:sz w:val="17"/>
              </w:rPr>
              <w:t>Internal helper; purpose inferred from its implementation and call sites.</w:t>
            </w:r>
          </w:p>
        </w:tc>
      </w:tr>
      <w:tr>
        <w:tc>
          <w:tcPr>
            <w:tcW w:type="dxa" w:w="2520"/>
          </w:tcPr>
          <w:p>
            <w:r>
              <w:rPr>
                <w:sz w:val="17"/>
              </w:rPr>
              <w:t>1836–1855</w:t>
            </w:r>
          </w:p>
        </w:tc>
        <w:tc>
          <w:tcPr>
            <w:tcW w:type="dxa" w:w="2520"/>
          </w:tcPr>
          <w:p>
            <w:r>
              <w:rPr>
                <w:sz w:val="17"/>
              </w:rPr>
              <w:t>Function</w:t>
            </w:r>
          </w:p>
        </w:tc>
        <w:tc>
          <w:tcPr>
            <w:tcW w:type="dxa" w:w="2520"/>
          </w:tcPr>
          <w:p>
            <w:r>
              <w:rPr>
                <w:sz w:val="17"/>
              </w:rPr>
              <w:t>countdown(screen)</w:t>
            </w:r>
          </w:p>
        </w:tc>
        <w:tc>
          <w:tcPr>
            <w:tcW w:type="dxa" w:w="2520"/>
          </w:tcPr>
          <w:p>
            <w:r>
              <w:rPr>
                <w:sz w:val="17"/>
              </w:rPr>
              <w:t>Internal helper; purpose inferred from its implementation and call sites.</w:t>
            </w:r>
          </w:p>
        </w:tc>
      </w:tr>
      <w:tr>
        <w:tc>
          <w:tcPr>
            <w:tcW w:type="dxa" w:w="2520"/>
          </w:tcPr>
          <w:p>
            <w:r>
              <w:rPr>
                <w:sz w:val="17"/>
              </w:rPr>
              <w:t>1862–1874</w:t>
            </w:r>
          </w:p>
        </w:tc>
        <w:tc>
          <w:tcPr>
            <w:tcW w:type="dxa" w:w="2520"/>
          </w:tcPr>
          <w:p>
            <w:r>
              <w:rPr>
                <w:sz w:val="17"/>
              </w:rPr>
              <w:t>Function</w:t>
            </w:r>
          </w:p>
        </w:tc>
        <w:tc>
          <w:tcPr>
            <w:tcW w:type="dxa" w:w="2520"/>
          </w:tcPr>
          <w:p>
            <w:r>
              <w:rPr>
                <w:sz w:val="17"/>
              </w:rPr>
              <w:t>force_to_cursor_y(force, screen_height)</w:t>
            </w:r>
          </w:p>
        </w:tc>
        <w:tc>
          <w:tcPr>
            <w:tcW w:type="dxa" w:w="2520"/>
          </w:tcPr>
          <w:p>
            <w:r>
              <w:rPr>
                <w:sz w:val="17"/>
              </w:rPr>
              <w:t>Participant-normalised force -&gt; screen Y.</w:t>
            </w:r>
          </w:p>
        </w:tc>
      </w:tr>
      <w:tr>
        <w:tc>
          <w:tcPr>
            <w:tcW w:type="dxa" w:w="2520"/>
          </w:tcPr>
          <w:p>
            <w:r>
              <w:rPr>
                <w:sz w:val="17"/>
              </w:rPr>
              <w:t>1877–1887</w:t>
            </w:r>
          </w:p>
        </w:tc>
        <w:tc>
          <w:tcPr>
            <w:tcW w:type="dxa" w:w="2520"/>
          </w:tcPr>
          <w:p>
            <w:r>
              <w:rPr>
                <w:sz w:val="17"/>
              </w:rPr>
              <w:t>Function</w:t>
            </w:r>
          </w:p>
        </w:tc>
        <w:tc>
          <w:tcPr>
            <w:tcW w:type="dxa" w:w="2520"/>
          </w:tcPr>
          <w:p>
            <w:r>
              <w:rPr>
                <w:sz w:val="17"/>
              </w:rPr>
              <w:t>draw_cursor_track(screen, target_rect)</w:t>
            </w:r>
          </w:p>
        </w:tc>
        <w:tc>
          <w:tcPr>
            <w:tcW w:type="dxa" w:w="2520"/>
          </w:tcPr>
          <w:p>
            <w:r>
              <w:rPr>
                <w:sz w:val="17"/>
              </w:rPr>
              <w:t>Internal helper; purpose inferred from its implementation and call sites.</w:t>
            </w:r>
          </w:p>
        </w:tc>
      </w:tr>
      <w:tr>
        <w:tc>
          <w:tcPr>
            <w:tcW w:type="dxa" w:w="2520"/>
          </w:tcPr>
          <w:p>
            <w:r>
              <w:rPr>
                <w:sz w:val="17"/>
              </w:rPr>
              <w:t>1890–1903</w:t>
            </w:r>
          </w:p>
        </w:tc>
        <w:tc>
          <w:tcPr>
            <w:tcW w:type="dxa" w:w="2520"/>
          </w:tcPr>
          <w:p>
            <w:r>
              <w:rPr>
                <w:sz w:val="17"/>
              </w:rPr>
              <w:t>Function</w:t>
            </w:r>
          </w:p>
        </w:tc>
        <w:tc>
          <w:tcPr>
            <w:tcW w:type="dxa" w:w="2520"/>
          </w:tcPr>
          <w:p>
            <w:r>
              <w:rPr>
                <w:sz w:val="17"/>
              </w:rPr>
              <w:t>draw_force_cursor(screen, force, target_rect, visible)</w:t>
            </w:r>
          </w:p>
        </w:tc>
        <w:tc>
          <w:tcPr>
            <w:tcW w:type="dxa" w:w="2520"/>
          </w:tcPr>
          <w:p>
            <w:r>
              <w:rPr>
                <w:sz w:val="17"/>
              </w:rPr>
              <w:t>Internal helper; purpose inferred from its implementation and call sites.</w:t>
            </w:r>
          </w:p>
        </w:tc>
      </w:tr>
      <w:tr>
        <w:tc>
          <w:tcPr>
            <w:tcW w:type="dxa" w:w="2520"/>
          </w:tcPr>
          <w:p>
            <w:r>
              <w:rPr>
                <w:sz w:val="17"/>
              </w:rPr>
              <w:t>1906–1908</w:t>
            </w:r>
          </w:p>
        </w:tc>
        <w:tc>
          <w:tcPr>
            <w:tcW w:type="dxa" w:w="2520"/>
          </w:tcPr>
          <w:p>
            <w:r>
              <w:rPr>
                <w:sz w:val="17"/>
              </w:rPr>
              <w:t>Function</w:t>
            </w:r>
          </w:p>
        </w:tc>
        <w:tc>
          <w:tcPr>
            <w:tcW w:type="dxa" w:w="2520"/>
          </w:tcPr>
          <w:p>
            <w:r>
              <w:rPr>
                <w:sz w:val="17"/>
              </w:rPr>
              <w:t>draw_active_target(screen, rect, color)</w:t>
            </w:r>
          </w:p>
        </w:tc>
        <w:tc>
          <w:tcPr>
            <w:tcW w:type="dxa" w:w="2520"/>
          </w:tcPr>
          <w:p>
            <w:r>
              <w:rPr>
                <w:sz w:val="17"/>
              </w:rPr>
              <w:t>Internal helper; purpose inferred from its implementation and call sites.</w:t>
            </w:r>
          </w:p>
        </w:tc>
      </w:tr>
      <w:tr>
        <w:tc>
          <w:tcPr>
            <w:tcW w:type="dxa" w:w="2520"/>
          </w:tcPr>
          <w:p>
            <w:r>
              <w:rPr>
                <w:sz w:val="17"/>
              </w:rPr>
              <w:t>1915–1922</w:t>
            </w:r>
          </w:p>
        </w:tc>
        <w:tc>
          <w:tcPr>
            <w:tcW w:type="dxa" w:w="2520"/>
          </w:tcPr>
          <w:p>
            <w:r>
              <w:rPr>
                <w:sz w:val="17"/>
              </w:rPr>
              <w:t>Function</w:t>
            </w:r>
          </w:p>
        </w:tc>
        <w:tc>
          <w:tcPr>
            <w:tcW w:type="dxa" w:w="2520"/>
          </w:tcPr>
          <w:p>
            <w:r>
              <w:rPr>
                <w:sz w:val="17"/>
              </w:rPr>
              <w:t>create_target_rect(screen_height)</w:t>
            </w:r>
          </w:p>
        </w:tc>
        <w:tc>
          <w:tcPr>
            <w:tcW w:type="dxa" w:w="2520"/>
          </w:tcPr>
          <w:p>
            <w:r>
              <w:rPr>
                <w:sz w:val="17"/>
              </w:rPr>
              <w:t>Box height is derived from the force tolerance, so that being inside</w:t>
            </w:r>
          </w:p>
        </w:tc>
      </w:tr>
      <w:tr>
        <w:tc>
          <w:tcPr>
            <w:tcW w:type="dxa" w:w="2520"/>
          </w:tcPr>
          <w:p>
            <w:r>
              <w:rPr>
                <w:sz w:val="17"/>
              </w:rPr>
              <w:t>1925–1930</w:t>
            </w:r>
          </w:p>
        </w:tc>
        <w:tc>
          <w:tcPr>
            <w:tcW w:type="dxa" w:w="2520"/>
          </w:tcPr>
          <w:p>
            <w:r>
              <w:rPr>
                <w:sz w:val="17"/>
              </w:rPr>
              <w:t>Function</w:t>
            </w:r>
          </w:p>
        </w:tc>
        <w:tc>
          <w:tcPr>
            <w:tcW w:type="dxa" w:w="2520"/>
          </w:tcPr>
          <w:p>
            <w:r>
              <w:rPr>
                <w:sz w:val="17"/>
              </w:rPr>
              <w:t>place_targets(right_rect, width, height, right_force_level)</w:t>
            </w:r>
          </w:p>
        </w:tc>
        <w:tc>
          <w:tcPr>
            <w:tcW w:type="dxa" w:w="2520"/>
          </w:tcPr>
          <w:p>
            <w:r>
              <w:rPr>
                <w:sz w:val="17"/>
              </w:rPr>
              <w:t>Place the single RIGHT-hand target in the horizontal centre.</w:t>
            </w:r>
          </w:p>
        </w:tc>
      </w:tr>
      <w:tr>
        <w:tc>
          <w:tcPr>
            <w:tcW w:type="dxa" w:w="2520"/>
          </w:tcPr>
          <w:p>
            <w:r>
              <w:rPr>
                <w:sz w:val="17"/>
              </w:rPr>
              <w:t>1932–1935</w:t>
            </w:r>
          </w:p>
        </w:tc>
        <w:tc>
          <w:tcPr>
            <w:tcW w:type="dxa" w:w="2520"/>
          </w:tcPr>
          <w:p>
            <w:r>
              <w:rPr>
                <w:sz w:val="17"/>
              </w:rPr>
              <w:t>Function</w:t>
            </w:r>
          </w:p>
        </w:tc>
        <w:tc>
          <w:tcPr>
            <w:tcW w:type="dxa" w:w="2520"/>
          </w:tcPr>
          <w:p>
            <w:r>
              <w:rPr>
                <w:sz w:val="17"/>
              </w:rPr>
              <w:t>configure_targets_for_trial(trial_number, right_rect, width, height)</w:t>
            </w:r>
          </w:p>
        </w:tc>
        <w:tc>
          <w:tcPr>
            <w:tcW w:type="dxa" w:w="2520"/>
          </w:tcPr>
          <w:p>
            <w:r>
              <w:rPr>
                <w:sz w:val="17"/>
              </w:rPr>
              <w:t>Configure the single RIGHT-hand target for every trial.</w:t>
            </w:r>
          </w:p>
        </w:tc>
      </w:tr>
      <w:tr>
        <w:tc>
          <w:tcPr>
            <w:tcW w:type="dxa" w:w="2520"/>
          </w:tcPr>
          <w:p>
            <w:r>
              <w:rPr>
                <w:sz w:val="17"/>
              </w:rPr>
              <w:t>1941–1958</w:t>
            </w:r>
          </w:p>
        </w:tc>
        <w:tc>
          <w:tcPr>
            <w:tcW w:type="dxa" w:w="2520"/>
          </w:tcPr>
          <w:p>
            <w:r>
              <w:rPr>
                <w:sz w:val="17"/>
              </w:rPr>
              <w:t>Function</w:t>
            </w:r>
          </w:p>
        </w:tc>
        <w:tc>
          <w:tcPr>
            <w:tcW w:type="dxa" w:w="2520"/>
          </w:tcPr>
          <w:p>
            <w:r>
              <w:rPr>
                <w:sz w:val="17"/>
              </w:rPr>
              <w:t>send_trigger(channel)</w:t>
            </w:r>
          </w:p>
        </w:tc>
        <w:tc>
          <w:tcPr>
            <w:tcW w:type="dxa" w:w="2520"/>
          </w:tcPr>
          <w:p>
            <w:r>
              <w:rPr>
                <w:sz w:val="17"/>
              </w:rPr>
              <w:t>Internal helper; purpose inferred from its implementation and call sites.</w:t>
            </w:r>
          </w:p>
        </w:tc>
      </w:tr>
      <w:tr>
        <w:tc>
          <w:tcPr>
            <w:tcW w:type="dxa" w:w="2520"/>
          </w:tcPr>
          <w:p>
            <w:r>
              <w:rPr>
                <w:sz w:val="17"/>
              </w:rPr>
              <w:t>1965–1988</w:t>
            </w:r>
          </w:p>
        </w:tc>
        <w:tc>
          <w:tcPr>
            <w:tcW w:type="dxa" w:w="2520"/>
          </w:tcPr>
          <w:p>
            <w:r>
              <w:rPr>
                <w:sz w:val="17"/>
              </w:rPr>
              <w:t>Function</w:t>
            </w:r>
          </w:p>
        </w:tc>
        <w:tc>
          <w:tcPr>
            <w:tcW w:type="dxa" w:w="2520"/>
          </w:tcPr>
          <w:p>
            <w:r>
              <w:rPr>
                <w:sz w:val="17"/>
              </w:rPr>
              <w:t>measure_baseline(joystick, screen, duration_s, message)</w:t>
            </w:r>
          </w:p>
        </w:tc>
        <w:tc>
          <w:tcPr>
            <w:tcW w:type="dxa" w:w="2520"/>
          </w:tcPr>
          <w:p>
            <w:r>
              <w:rPr>
                <w:sz w:val="17"/>
              </w:rPr>
              <w:t>Measure the resting baseline of the RIGHT handle only.</w:t>
            </w:r>
          </w:p>
        </w:tc>
      </w:tr>
      <w:tr>
        <w:tc>
          <w:tcPr>
            <w:tcW w:type="dxa" w:w="2520"/>
          </w:tcPr>
          <w:p>
            <w:r>
              <w:rPr>
                <w:sz w:val="17"/>
              </w:rPr>
              <w:t>1990–2056</w:t>
            </w:r>
          </w:p>
        </w:tc>
        <w:tc>
          <w:tcPr>
            <w:tcW w:type="dxa" w:w="2520"/>
          </w:tcPr>
          <w:p>
            <w:r>
              <w:rPr>
                <w:sz w:val="17"/>
              </w:rPr>
              <w:t>Function</w:t>
            </w:r>
          </w:p>
        </w:tc>
        <w:tc>
          <w:tcPr>
            <w:tcW w:type="dxa" w:w="2520"/>
          </w:tcPr>
          <w:p>
            <w:r>
              <w:rPr>
                <w:sz w:val="17"/>
              </w:rPr>
              <w:t>calibrate_hand(joystick, screen, calibration)</w:t>
            </w:r>
          </w:p>
        </w:tc>
        <w:tc>
          <w:tcPr>
            <w:tcW w:type="dxa" w:w="2520"/>
          </w:tcPr>
          <w:p>
            <w:r>
              <w:rPr>
                <w:sz w:val="17"/>
              </w:rPr>
              <w:t>Measure the participant's maximum contraction for the RIGHT handle.</w:t>
            </w:r>
          </w:p>
        </w:tc>
      </w:tr>
      <w:tr>
        <w:tc>
          <w:tcPr>
            <w:tcW w:type="dxa" w:w="2520"/>
          </w:tcPr>
          <w:p>
            <w:r>
              <w:rPr>
                <w:sz w:val="17"/>
              </w:rPr>
              <w:t>2058–2089</w:t>
            </w:r>
          </w:p>
        </w:tc>
        <w:tc>
          <w:tcPr>
            <w:tcW w:type="dxa" w:w="2520"/>
          </w:tcPr>
          <w:p>
            <w:r>
              <w:rPr>
                <w:sz w:val="17"/>
              </w:rPr>
              <w:t>Function</w:t>
            </w:r>
          </w:p>
        </w:tc>
        <w:tc>
          <w:tcPr>
            <w:tcW w:type="dxa" w:w="2520"/>
          </w:tcPr>
          <w:p>
            <w:r>
              <w:rPr>
                <w:sz w:val="17"/>
              </w:rPr>
              <w:t>run_calibration(joystick, screen)</w:t>
            </w:r>
          </w:p>
        </w:tc>
        <w:tc>
          <w:tcPr>
            <w:tcW w:type="dxa" w:w="2520"/>
          </w:tcPr>
          <w:p>
            <w:r>
              <w:rPr>
                <w:sz w:val="17"/>
              </w:rPr>
              <w:t>Calibrate only the RIGHT handle.</w:t>
            </w:r>
          </w:p>
        </w:tc>
      </w:tr>
      <w:tr>
        <w:tc>
          <w:tcPr>
            <w:tcW w:type="dxa" w:w="2520"/>
          </w:tcPr>
          <w:p>
            <w:r>
              <w:rPr>
                <w:sz w:val="17"/>
              </w:rPr>
              <w:t>2095–2115</w:t>
            </w:r>
          </w:p>
        </w:tc>
        <w:tc>
          <w:tcPr>
            <w:tcW w:type="dxa" w:w="2520"/>
          </w:tcPr>
          <w:p>
            <w:r>
              <w:rPr>
                <w:sz w:val="17"/>
              </w:rPr>
              <w:t>Function</w:t>
            </w:r>
          </w:p>
        </w:tc>
        <w:tc>
          <w:tcPr>
            <w:tcW w:type="dxa" w:w="2520"/>
          </w:tcPr>
          <w:p>
            <w:r>
              <w:rPr>
                <w:sz w:val="17"/>
              </w:rPr>
              <w:t>smooth_signal(values, samples)</w:t>
            </w:r>
          </w:p>
        </w:tc>
        <w:tc>
          <w:tcPr>
            <w:tcW w:type="dxa" w:w="2520"/>
          </w:tcPr>
          <w:p>
            <w:r>
              <w:rPr>
                <w:sz w:val="17"/>
              </w:rPr>
              <w:t>Causal-safe moving average.</w:t>
            </w:r>
          </w:p>
        </w:tc>
      </w:tr>
      <w:tr>
        <w:tc>
          <w:tcPr>
            <w:tcW w:type="dxa" w:w="2520"/>
          </w:tcPr>
          <w:p>
            <w:r>
              <w:rPr>
                <w:sz w:val="17"/>
              </w:rPr>
              <w:t>2122–2160</w:t>
            </w:r>
          </w:p>
        </w:tc>
        <w:tc>
          <w:tcPr>
            <w:tcW w:type="dxa" w:w="2520"/>
          </w:tcPr>
          <w:p>
            <w:r>
              <w:rPr>
                <w:sz w:val="17"/>
              </w:rPr>
              <w:t>Function</w:t>
            </w:r>
          </w:p>
        </w:tc>
        <w:tc>
          <w:tcPr>
            <w:tcW w:type="dxa" w:w="2520"/>
          </w:tcPr>
          <w:p>
            <w:r>
              <w:rPr>
                <w:sz w:val="17"/>
              </w:rPr>
              <w:t>find_rising_onset(t, force, smoothed)</w:t>
            </w:r>
          </w:p>
        </w:tc>
        <w:tc>
          <w:tcPr>
            <w:tcW w:type="dxa" w:w="2520"/>
          </w:tcPr>
          <w:p>
            <w:r>
              <w:rPr>
                <w:sz w:val="17"/>
              </w:rPr>
              <w:t>Locate force onset: the first sample where smoothed force crosses</w:t>
            </w:r>
          </w:p>
        </w:tc>
      </w:tr>
      <w:tr>
        <w:tc>
          <w:tcPr>
            <w:tcW w:type="dxa" w:w="2520"/>
          </w:tcPr>
          <w:p>
            <w:r>
              <w:rPr>
                <w:sz w:val="17"/>
              </w:rPr>
              <w:t>2167–2210</w:t>
            </w:r>
          </w:p>
        </w:tc>
        <w:tc>
          <w:tcPr>
            <w:tcW w:type="dxa" w:w="2520"/>
          </w:tcPr>
          <w:p>
            <w:r>
              <w:rPr>
                <w:sz w:val="17"/>
              </w:rPr>
              <w:t>Function</w:t>
            </w:r>
          </w:p>
        </w:tc>
        <w:tc>
          <w:tcPr>
            <w:tcW w:type="dxa" w:w="2520"/>
          </w:tcPr>
          <w:p>
            <w:r>
              <w:rPr>
                <w:sz w:val="17"/>
              </w:rPr>
              <w:t>calculate_epoch_rfd(t, force, epoch_s, onset_idx, smoothed, window_s)</w:t>
            </w:r>
          </w:p>
        </w:tc>
        <w:tc>
          <w:tcPr>
            <w:tcW w:type="dxa" w:w="2520"/>
          </w:tcPr>
          <w:p>
            <w:r>
              <w:rPr>
                <w:sz w:val="17"/>
              </w:rPr>
              <w:t>Local/sliding-window RFD used by the adaptive decision.</w:t>
            </w:r>
          </w:p>
        </w:tc>
      </w:tr>
      <w:tr>
        <w:tc>
          <w:tcPr>
            <w:tcW w:type="dxa" w:w="2520"/>
          </w:tcPr>
          <w:p>
            <w:r>
              <w:rPr>
                <w:sz w:val="17"/>
              </w:rPr>
              <w:t>2217–2258</w:t>
            </w:r>
          </w:p>
        </w:tc>
        <w:tc>
          <w:tcPr>
            <w:tcW w:type="dxa" w:w="2520"/>
          </w:tcPr>
          <w:p>
            <w:r>
              <w:rPr>
                <w:sz w:val="17"/>
              </w:rPr>
              <w:t>Function</w:t>
            </w:r>
          </w:p>
        </w:tc>
        <w:tc>
          <w:tcPr>
            <w:tcW w:type="dxa" w:w="2520"/>
          </w:tcPr>
          <w:p>
            <w:r>
              <w:rPr>
                <w:sz w:val="17"/>
              </w:rPr>
              <w:t>calculate_peak_rfd(t, force, onset_idx, smoothed, window_s)</w:t>
            </w:r>
          </w:p>
        </w:tc>
        <w:tc>
          <w:tcPr>
            <w:tcW w:type="dxa" w:w="2520"/>
          </w:tcPr>
          <w:p>
            <w:r>
              <w:rPr>
                <w:sz w:val="17"/>
              </w:rPr>
              <w:t>Maximum instantaneous RFD: the steepest short-window slope anywhere</w:t>
            </w:r>
          </w:p>
        </w:tc>
      </w:tr>
      <w:tr>
        <w:tc>
          <w:tcPr>
            <w:tcW w:type="dxa" w:w="2520"/>
          </w:tcPr>
          <w:p>
            <w:r>
              <w:rPr>
                <w:sz w:val="17"/>
              </w:rPr>
              <w:t>2261–2311</w:t>
            </w:r>
          </w:p>
        </w:tc>
        <w:tc>
          <w:tcPr>
            <w:tcW w:type="dxa" w:w="2520"/>
          </w:tcPr>
          <w:p>
            <w:r>
              <w:rPr>
                <w:sz w:val="17"/>
              </w:rPr>
              <w:t>Function</w:t>
            </w:r>
          </w:p>
        </w:tc>
        <w:tc>
          <w:tcPr>
            <w:tcW w:type="dxa" w:w="2520"/>
          </w:tcPr>
          <w:p>
            <w:r>
              <w:rPr>
                <w:sz w:val="17"/>
              </w:rPr>
              <w:t>calculate_rfd_to_peak(t, force, onset_idx, smoothed)</w:t>
            </w:r>
          </w:p>
        </w:tc>
        <w:tc>
          <w:tcPr>
            <w:tcW w:type="dxa" w:w="2520"/>
          </w:tcPr>
          <w:p>
            <w:r>
              <w:rPr>
                <w:sz w:val="17"/>
              </w:rPr>
              <w:t>Average RFD from onset to peak force.</w:t>
            </w:r>
          </w:p>
        </w:tc>
      </w:tr>
      <w:tr>
        <w:tc>
          <w:tcPr>
            <w:tcW w:type="dxa" w:w="2520"/>
          </w:tcPr>
          <w:p>
            <w:r>
              <w:rPr>
                <w:sz w:val="17"/>
              </w:rPr>
              <w:t>2314–2337</w:t>
            </w:r>
          </w:p>
        </w:tc>
        <w:tc>
          <w:tcPr>
            <w:tcW w:type="dxa" w:w="2520"/>
          </w:tcPr>
          <w:p>
            <w:r>
              <w:rPr>
                <w:sz w:val="17"/>
              </w:rPr>
              <w:t>Function</w:t>
            </w:r>
          </w:p>
        </w:tc>
        <w:tc>
          <w:tcPr>
            <w:tcW w:type="dxa" w:w="2520"/>
          </w:tcPr>
          <w:p>
            <w:r>
              <w:rPr>
                <w:sz w:val="17"/>
              </w:rPr>
              <w:t>calculate_running_slope(t, force, onset_idx, smoothed, window_s)</w:t>
            </w:r>
          </w:p>
        </w:tc>
        <w:tc>
          <w:tcPr>
            <w:tcW w:type="dxa" w:w="2520"/>
          </w:tcPr>
          <w:p>
            <w:r>
              <w:rPr>
                <w:sz w:val="17"/>
              </w:rPr>
              <w:t>Continuous diagnostic LOCAL RFD over the most recent 50-ms window.</w:t>
            </w:r>
          </w:p>
        </w:tc>
      </w:tr>
      <w:tr>
        <w:tc>
          <w:tcPr>
            <w:tcW w:type="dxa" w:w="2520"/>
          </w:tcPr>
          <w:p>
            <w:r>
              <w:rPr>
                <w:sz w:val="17"/>
              </w:rPr>
              <w:t>2340–2359</w:t>
            </w:r>
          </w:p>
        </w:tc>
        <w:tc>
          <w:tcPr>
            <w:tcW w:type="dxa" w:w="2520"/>
          </w:tcPr>
          <w:p>
            <w:r>
              <w:rPr>
                <w:sz w:val="17"/>
              </w:rPr>
              <w:t>Function</w:t>
            </w:r>
          </w:p>
        </w:tc>
        <w:tc>
          <w:tcPr>
            <w:tcW w:type="dxa" w:w="2520"/>
          </w:tcPr>
          <w:p>
            <w:r>
              <w:rPr>
                <w:sz w:val="17"/>
              </w:rPr>
              <w:t>compute_checkpoint_forces(t, force, onset_idx, smoothed, checkpoints)</w:t>
            </w:r>
          </w:p>
        </w:tc>
        <w:tc>
          <w:tcPr>
            <w:tcW w:type="dxa" w:w="2520"/>
          </w:tcPr>
          <w:p>
            <w:r>
              <w:rPr>
                <w:sz w:val="17"/>
              </w:rPr>
              <w:t>Smoothed force at each onset-anchored checkpoint.</w:t>
            </w:r>
          </w:p>
        </w:tc>
      </w:tr>
      <w:tr>
        <w:tc>
          <w:tcPr>
            <w:tcW w:type="dxa" w:w="2520"/>
          </w:tcPr>
          <w:p>
            <w:r>
              <w:rPr>
                <w:sz w:val="17"/>
              </w:rPr>
              <w:t>2362–2372</w:t>
            </w:r>
          </w:p>
        </w:tc>
        <w:tc>
          <w:tcPr>
            <w:tcW w:type="dxa" w:w="2520"/>
          </w:tcPr>
          <w:p>
            <w:r>
              <w:rPr>
                <w:sz w:val="17"/>
              </w:rPr>
              <w:t>Function</w:t>
            </w:r>
          </w:p>
        </w:tc>
        <w:tc>
          <w:tcPr>
            <w:tcW w:type="dxa" w:w="2520"/>
          </w:tcPr>
          <w:p>
            <w:r>
              <w:rPr>
                <w:sz w:val="17"/>
              </w:rPr>
              <w:t>calculate_checkpoint_force_references(force_history)</w:t>
            </w:r>
          </w:p>
        </w:tc>
        <w:tc>
          <w:tcPr>
            <w:tcW w:type="dxa" w:w="2520"/>
          </w:tcPr>
          <w:p>
            <w:r>
              <w:rPr>
                <w:sz w:val="17"/>
              </w:rPr>
              <w:t>Mean checkpoint force from the previous two completed trials.</w:t>
            </w:r>
          </w:p>
        </w:tc>
      </w:tr>
      <w:tr>
        <w:tc>
          <w:tcPr>
            <w:tcW w:type="dxa" w:w="2520"/>
          </w:tcPr>
          <w:p>
            <w:r>
              <w:rPr>
                <w:sz w:val="17"/>
              </w:rPr>
              <w:t>2379–2404</w:t>
            </w:r>
          </w:p>
        </w:tc>
        <w:tc>
          <w:tcPr>
            <w:tcW w:type="dxa" w:w="2520"/>
          </w:tcPr>
          <w:p>
            <w:r>
              <w:rPr>
                <w:sz w:val="17"/>
              </w:rPr>
              <w:t>Function</w:t>
            </w:r>
          </w:p>
        </w:tc>
        <w:tc>
          <w:tcPr>
            <w:tcW w:type="dxa" w:w="2520"/>
          </w:tcPr>
          <w:p>
            <w:r>
              <w:rPr>
                <w:sz w:val="17"/>
              </w:rPr>
              <w:t>compute_checkpoint_rfds(t, force, onset_idx, smoothed, checkpoints)</w:t>
            </w:r>
          </w:p>
        </w:tc>
        <w:tc>
          <w:tcPr>
            <w:tcW w:type="dxa" w:w="2520"/>
          </w:tcPr>
          <w:p>
            <w:r>
              <w:rPr>
                <w:sz w:val="17"/>
              </w:rPr>
              <w:t>RFD at every checkpoint, all measured from the SAME onset.</w:t>
            </w:r>
          </w:p>
        </w:tc>
      </w:tr>
      <w:tr>
        <w:tc>
          <w:tcPr>
            <w:tcW w:type="dxa" w:w="2520"/>
          </w:tcPr>
          <w:p>
            <w:r>
              <w:rPr>
                <w:sz w:val="17"/>
              </w:rPr>
              <w:t>2407–2437</w:t>
            </w:r>
          </w:p>
        </w:tc>
        <w:tc>
          <w:tcPr>
            <w:tcW w:type="dxa" w:w="2520"/>
          </w:tcPr>
          <w:p>
            <w:r>
              <w:rPr>
                <w:sz w:val="17"/>
              </w:rPr>
              <w:t>Function</w:t>
            </w:r>
          </w:p>
        </w:tc>
        <w:tc>
          <w:tcPr>
            <w:tcW w:type="dxa" w:w="2520"/>
          </w:tcPr>
          <w:p>
            <w:r>
              <w:rPr>
                <w:sz w:val="17"/>
              </w:rPr>
              <w:t>calculate_checkpoint_thresholds(checkpoint_history)</w:t>
            </w:r>
          </w:p>
        </w:tc>
        <w:tc>
          <w:tcPr>
            <w:tcW w:type="dxa" w:w="2520"/>
          </w:tcPr>
          <w:p>
            <w:r>
              <w:rPr>
                <w:sz w:val="17"/>
              </w:rPr>
              <w:t>One threshold per checkpoint, each the mean of the previous</w:t>
            </w:r>
          </w:p>
        </w:tc>
      </w:tr>
      <w:tr>
        <w:tc>
          <w:tcPr>
            <w:tcW w:type="dxa" w:w="2520"/>
          </w:tcPr>
          <w:p>
            <w:r>
              <w:rPr>
                <w:sz w:val="17"/>
              </w:rPr>
              <w:t>2440–2465</w:t>
            </w:r>
          </w:p>
        </w:tc>
        <w:tc>
          <w:tcPr>
            <w:tcW w:type="dxa" w:w="2520"/>
          </w:tcPr>
          <w:p>
            <w:r>
              <w:rPr>
                <w:sz w:val="17"/>
              </w:rPr>
              <w:t>Function</w:t>
            </w:r>
          </w:p>
        </w:tc>
        <w:tc>
          <w:tcPr>
            <w:tcW w:type="dxa" w:w="2520"/>
          </w:tcPr>
          <w:p>
            <w:r>
              <w:rPr>
                <w:sz w:val="17"/>
              </w:rPr>
              <w:t>calculate_rfd_threshold(rfd_history)</w:t>
            </w:r>
          </w:p>
        </w:tc>
        <w:tc>
          <w:tcPr>
            <w:tcW w:type="dxa" w:w="2520"/>
          </w:tcPr>
          <w:p>
            <w:r>
              <w:rPr>
                <w:sz w:val="17"/>
              </w:rPr>
              <w:t>Threshold for the upcoming trial = mean of the fixed-epoch RFD from</w:t>
            </w:r>
          </w:p>
        </w:tc>
      </w:tr>
      <w:tr>
        <w:tc>
          <w:tcPr>
            <w:tcW w:type="dxa" w:w="2520"/>
          </w:tcPr>
          <w:p>
            <w:r>
              <w:rPr>
                <w:sz w:val="17"/>
              </w:rPr>
              <w:t>2472–2832</w:t>
            </w:r>
          </w:p>
        </w:tc>
        <w:tc>
          <w:tcPr>
            <w:tcW w:type="dxa" w:w="2520"/>
          </w:tcPr>
          <w:p>
            <w:r>
              <w:rPr>
                <w:sz w:val="17"/>
              </w:rPr>
              <w:t>Class</w:t>
            </w:r>
          </w:p>
        </w:tc>
        <w:tc>
          <w:tcPr>
            <w:tcW w:type="dxa" w:w="2520"/>
          </w:tcPr>
          <w:p>
            <w:r>
              <w:rPr>
                <w:sz w:val="17"/>
              </w:rPr>
              <w:t>RFDMonitor</w:t>
            </w:r>
          </w:p>
        </w:tc>
        <w:tc>
          <w:tcPr>
            <w:tcW w:type="dxa" w:w="2520"/>
          </w:tcPr>
          <w:p>
            <w:r>
              <w:rPr>
                <w:sz w:val="17"/>
              </w:rPr>
              <w:t>Watches the RIGHT handle during the GO period and checks RFD REPEATEDLY as</w:t>
            </w:r>
          </w:p>
        </w:tc>
      </w:tr>
      <w:tr>
        <w:tc>
          <w:tcPr>
            <w:tcW w:type="dxa" w:w="2520"/>
          </w:tcPr>
          <w:p>
            <w:r>
              <w:rPr>
                <w:sz w:val="17"/>
              </w:rPr>
              <w:t>2839–2885</w:t>
            </w:r>
          </w:p>
        </w:tc>
        <w:tc>
          <w:tcPr>
            <w:tcW w:type="dxa" w:w="2520"/>
          </w:tcPr>
          <w:p>
            <w:r>
              <w:rPr>
                <w:sz w:val="17"/>
              </w:rPr>
              <w:t>Function</w:t>
            </w:r>
          </w:p>
        </w:tc>
        <w:tc>
          <w:tcPr>
            <w:tcW w:type="dxa" w:w="2520"/>
          </w:tcPr>
          <w:p>
            <w:r>
              <w:rPr>
                <w:sz w:val="17"/>
              </w:rPr>
              <w:t>_hand_timeseries(trial_number, hand, t, force, go_start_time)</w:t>
            </w:r>
          </w:p>
        </w:tc>
        <w:tc>
          <w:tcPr>
            <w:tcW w:type="dxa" w:w="2520"/>
          </w:tcPr>
          <w:p>
            <w:r>
              <w:rPr>
                <w:sz w:val="17"/>
              </w:rPr>
              <w:t>Build the per-hand time series, anchored to onset.</w:t>
            </w:r>
          </w:p>
        </w:tc>
      </w:tr>
      <w:tr>
        <w:tc>
          <w:tcPr>
            <w:tcW w:type="dxa" w:w="2520"/>
          </w:tcPr>
          <w:p>
            <w:r>
              <w:rPr>
                <w:sz w:val="17"/>
              </w:rPr>
              <w:t>2888–2900</w:t>
            </w:r>
          </w:p>
        </w:tc>
        <w:tc>
          <w:tcPr>
            <w:tcW w:type="dxa" w:w="2520"/>
          </w:tcPr>
          <w:p>
            <w:r>
              <w:rPr>
                <w:sz w:val="17"/>
              </w:rPr>
              <w:t>Function</w:t>
            </w:r>
          </w:p>
        </w:tc>
        <w:tc>
          <w:tcPr>
            <w:tcW w:type="dxa" w:w="2520"/>
          </w:tcPr>
          <w:p>
            <w:r>
              <w:rPr>
                <w:sz w:val="17"/>
              </w:rPr>
              <w:t>extract_trial_timeseries(trial_number, go_start_time, time_array, right_force_array)</w:t>
            </w:r>
          </w:p>
        </w:tc>
        <w:tc>
          <w:tcPr>
            <w:tcW w:type="dxa" w:w="2520"/>
          </w:tcPr>
          <w:p>
            <w:r>
              <w:rPr>
                <w:sz w:val="17"/>
              </w:rPr>
              <w:t>Retain the RIGHT-handle time series for one trial.</w:t>
            </w:r>
          </w:p>
        </w:tc>
      </w:tr>
      <w:tr>
        <w:tc>
          <w:tcPr>
            <w:tcW w:type="dxa" w:w="2520"/>
          </w:tcPr>
          <w:p>
            <w:r>
              <w:rPr>
                <w:sz w:val="17"/>
              </w:rPr>
              <w:t>2906–3083</w:t>
            </w:r>
          </w:p>
        </w:tc>
        <w:tc>
          <w:tcPr>
            <w:tcW w:type="dxa" w:w="2520"/>
          </w:tcPr>
          <w:p>
            <w:r>
              <w:rPr>
                <w:sz w:val="17"/>
              </w:rPr>
              <w:t>Function</w:t>
            </w:r>
          </w:p>
        </w:tc>
        <w:tc>
          <w:tcPr>
            <w:tcW w:type="dxa" w:w="2520"/>
          </w:tcPr>
          <w:p>
            <w:r>
              <w:rPr>
                <w:sz w:val="17"/>
              </w:rPr>
              <w:t>_hand_metrics(side, t, force, go_start_time, monitor_result)</w:t>
            </w:r>
          </w:p>
        </w:tc>
        <w:tc>
          <w:tcPr>
            <w:tcW w:type="dxa" w:w="2520"/>
          </w:tcPr>
          <w:p>
            <w:r>
              <w:rPr>
                <w:sz w:val="17"/>
              </w:rPr>
              <w:t>All post-hoc measures for one hand, every one anchored to onset.</w:t>
            </w:r>
          </w:p>
        </w:tc>
      </w:tr>
      <w:tr>
        <w:tc>
          <w:tcPr>
            <w:tcW w:type="dxa" w:w="2520"/>
          </w:tcPr>
          <w:p>
            <w:r>
              <w:rPr>
                <w:sz w:val="17"/>
              </w:rPr>
              <w:t>3086–3158</w:t>
            </w:r>
          </w:p>
        </w:tc>
        <w:tc>
          <w:tcPr>
            <w:tcW w:type="dxa" w:w="2520"/>
          </w:tcPr>
          <w:p>
            <w:r>
              <w:rPr>
                <w:sz w:val="17"/>
              </w:rPr>
              <w:t>Function</w:t>
            </w:r>
          </w:p>
        </w:tc>
        <w:tc>
          <w:tcPr>
            <w:tcW w:type="dxa" w:w="2520"/>
          </w:tcPr>
          <w:p>
            <w:r>
              <w:rPr>
                <w:sz w:val="17"/>
              </w:rPr>
              <w:t>_accuracy_metrics(side, t, force, go_start_time, target_level, tolerance)</w:t>
            </w:r>
          </w:p>
        </w:tc>
        <w:tc>
          <w:tcPr>
            <w:tcW w:type="dxa" w:w="2520"/>
          </w:tcPr>
          <w:p>
            <w:r>
              <w:rPr>
                <w:sz w:val="17"/>
              </w:rPr>
              <w:t>Trial-by-trial spatial/temporal accuracy of the force cursor relative</w:t>
            </w:r>
          </w:p>
        </w:tc>
      </w:tr>
      <w:tr>
        <w:tc>
          <w:tcPr>
            <w:tcW w:type="dxa" w:w="2520"/>
          </w:tcPr>
          <w:p>
            <w:r>
              <w:rPr>
                <w:sz w:val="17"/>
              </w:rPr>
              <w:t>3161–3191</w:t>
            </w:r>
          </w:p>
        </w:tc>
        <w:tc>
          <w:tcPr>
            <w:tcW w:type="dxa" w:w="2520"/>
          </w:tcPr>
          <w:p>
            <w:r>
              <w:rPr>
                <w:sz w:val="17"/>
              </w:rPr>
              <w:t>Function</w:t>
            </w:r>
          </w:p>
        </w:tc>
        <w:tc>
          <w:tcPr>
            <w:tcW w:type="dxa" w:w="2520"/>
          </w:tcPr>
          <w:p>
            <w:r>
              <w:rPr>
                <w:sz w:val="17"/>
              </w:rPr>
              <w:t>calculate_trial_metrics(trial_number, go_start_time, time_array, right_force_array, prev_right_rfd, right_result)</w:t>
            </w:r>
          </w:p>
        </w:tc>
        <w:tc>
          <w:tcPr>
            <w:tcW w:type="dxa" w:w="2520"/>
          </w:tcPr>
          <w:p>
            <w:r>
              <w:rPr>
                <w:sz w:val="17"/>
              </w:rPr>
              <w:t>Calculate all trial metrics for the RIGHT handle only.</w:t>
            </w:r>
          </w:p>
        </w:tc>
      </w:tr>
      <w:tr>
        <w:tc>
          <w:tcPr>
            <w:tcW w:type="dxa" w:w="2520"/>
          </w:tcPr>
          <w:p>
            <w:r>
              <w:rPr>
                <w:sz w:val="17"/>
              </w:rPr>
              <w:t>3208–3223</w:t>
            </w:r>
          </w:p>
        </w:tc>
        <w:tc>
          <w:tcPr>
            <w:tcW w:type="dxa" w:w="2520"/>
          </w:tcPr>
          <w:p>
            <w:r>
              <w:rPr>
                <w:sz w:val="17"/>
              </w:rPr>
              <w:t>Function</w:t>
            </w:r>
          </w:p>
        </w:tc>
        <w:tc>
          <w:tcPr>
            <w:tcW w:type="dxa" w:w="2520"/>
          </w:tcPr>
          <w:p>
            <w:r>
              <w:rPr>
                <w:sz w:val="17"/>
              </w:rPr>
              <w:t>apply_publication_plot_style()</w:t>
            </w:r>
          </w:p>
        </w:tc>
        <w:tc>
          <w:tcPr>
            <w:tcW w:type="dxa" w:w="2520"/>
          </w:tcPr>
          <w:p>
            <w:r>
              <w:rPr>
                <w:sz w:val="17"/>
              </w:rPr>
              <w:t>Apply one consistent style to every saved Matplotlib figure.</w:t>
            </w:r>
          </w:p>
        </w:tc>
      </w:tr>
      <w:tr>
        <w:tc>
          <w:tcPr>
            <w:tcW w:type="dxa" w:w="2520"/>
          </w:tcPr>
          <w:p>
            <w:r>
              <w:rPr>
                <w:sz w:val="17"/>
              </w:rPr>
              <w:t>3226–3228</w:t>
            </w:r>
          </w:p>
        </w:tc>
        <w:tc>
          <w:tcPr>
            <w:tcW w:type="dxa" w:w="2520"/>
          </w:tcPr>
          <w:p>
            <w:r>
              <w:rPr>
                <w:sz w:val="17"/>
              </w:rPr>
              <w:t>Function</w:t>
            </w:r>
          </w:p>
        </w:tc>
        <w:tc>
          <w:tcPr>
            <w:tcW w:type="dxa" w:w="2520"/>
          </w:tcPr>
          <w:p>
            <w:r>
              <w:rPr>
                <w:sz w:val="17"/>
              </w:rPr>
              <w:t>_style_axis(ax)</w:t>
            </w:r>
          </w:p>
        </w:tc>
        <w:tc>
          <w:tcPr>
            <w:tcW w:type="dxa" w:w="2520"/>
          </w:tcPr>
          <w:p>
            <w:r>
              <w:rPr>
                <w:sz w:val="17"/>
              </w:rPr>
              <w:t>Internal helper; purpose inferred from its implementation and call sites.</w:t>
            </w:r>
          </w:p>
        </w:tc>
      </w:tr>
      <w:tr>
        <w:tc>
          <w:tcPr>
            <w:tcW w:type="dxa" w:w="2520"/>
          </w:tcPr>
          <w:p>
            <w:r>
              <w:rPr>
                <w:sz w:val="17"/>
              </w:rPr>
              <w:t>3231–3235</w:t>
            </w:r>
          </w:p>
        </w:tc>
        <w:tc>
          <w:tcPr>
            <w:tcW w:type="dxa" w:w="2520"/>
          </w:tcPr>
          <w:p>
            <w:r>
              <w:rPr>
                <w:sz w:val="17"/>
              </w:rPr>
              <w:t>Function</w:t>
            </w:r>
          </w:p>
        </w:tc>
        <w:tc>
          <w:tcPr>
            <w:tcW w:type="dxa" w:w="2520"/>
          </w:tcPr>
          <w:p>
            <w:r>
              <w:rPr>
                <w:sz w:val="17"/>
              </w:rPr>
              <w:t>_save_figure(fig, path)</w:t>
            </w:r>
          </w:p>
        </w:tc>
        <w:tc>
          <w:tcPr>
            <w:tcW w:type="dxa" w:w="2520"/>
          </w:tcPr>
          <w:p>
            <w:r>
              <w:rPr>
                <w:sz w:val="17"/>
              </w:rPr>
              <w:t>Internal helper; purpose inferred from its implementation and call sites.</w:t>
            </w:r>
          </w:p>
        </w:tc>
      </w:tr>
      <w:tr>
        <w:tc>
          <w:tcPr>
            <w:tcW w:type="dxa" w:w="2520"/>
          </w:tcPr>
          <w:p>
            <w:r>
              <w:rPr>
                <w:sz w:val="17"/>
              </w:rPr>
              <w:t>3238–3239</w:t>
            </w:r>
          </w:p>
        </w:tc>
        <w:tc>
          <w:tcPr>
            <w:tcW w:type="dxa" w:w="2520"/>
          </w:tcPr>
          <w:p>
            <w:r>
              <w:rPr>
                <w:sz w:val="17"/>
              </w:rPr>
              <w:t>Function</w:t>
            </w:r>
          </w:p>
        </w:tc>
        <w:tc>
          <w:tcPr>
            <w:tcW w:type="dxa" w:w="2520"/>
          </w:tcPr>
          <w:p>
            <w:r>
              <w:rPr>
                <w:sz w:val="17"/>
              </w:rPr>
              <w:t>_checkpoint_ms()</w:t>
            </w:r>
          </w:p>
        </w:tc>
        <w:tc>
          <w:tcPr>
            <w:tcW w:type="dxa" w:w="2520"/>
          </w:tcPr>
          <w:p>
            <w:r>
              <w:rPr>
                <w:sz w:val="17"/>
              </w:rPr>
              <w:t>Internal helper; purpose inferred from its implementation and call sites.</w:t>
            </w:r>
          </w:p>
        </w:tc>
      </w:tr>
      <w:tr>
        <w:tc>
          <w:tcPr>
            <w:tcW w:type="dxa" w:w="2520"/>
          </w:tcPr>
          <w:p>
            <w:r>
              <w:rPr>
                <w:sz w:val="17"/>
              </w:rPr>
              <w:t>3242–3256</w:t>
            </w:r>
          </w:p>
        </w:tc>
        <w:tc>
          <w:tcPr>
            <w:tcW w:type="dxa" w:w="2520"/>
          </w:tcPr>
          <w:p>
            <w:r>
              <w:rPr>
                <w:sz w:val="17"/>
              </w:rPr>
              <w:t>Function</w:t>
            </w:r>
          </w:p>
        </w:tc>
        <w:tc>
          <w:tcPr>
            <w:tcW w:type="dxa" w:w="2520"/>
          </w:tcPr>
          <w:p>
            <w:r>
              <w:rPr>
                <w:sz w:val="17"/>
              </w:rPr>
              <w:t>_checkpoint_matrix(df_trials, side, kind)</w:t>
            </w:r>
          </w:p>
        </w:tc>
        <w:tc>
          <w:tcPr>
            <w:tcW w:type="dxa" w:w="2520"/>
          </w:tcPr>
          <w:p>
            <w:r>
              <w:rPr>
                <w:sz w:val="17"/>
              </w:rPr>
              <w:t>Return trials x checkpoints matrix for RFD or threshold values.</w:t>
            </w:r>
          </w:p>
        </w:tc>
      </w:tr>
      <w:tr>
        <w:tc>
          <w:tcPr>
            <w:tcW w:type="dxa" w:w="2520"/>
          </w:tcPr>
          <w:p>
            <w:r>
              <w:rPr>
                <w:sz w:val="17"/>
              </w:rPr>
              <w:t>3259–3261</w:t>
            </w:r>
          </w:p>
        </w:tc>
        <w:tc>
          <w:tcPr>
            <w:tcW w:type="dxa" w:w="2520"/>
          </w:tcPr>
          <w:p>
            <w:r>
              <w:rPr>
                <w:sz w:val="17"/>
              </w:rPr>
              <w:t>Function</w:t>
            </w:r>
          </w:p>
        </w:tc>
        <w:tc>
          <w:tcPr>
            <w:tcW w:type="dxa" w:w="2520"/>
          </w:tcPr>
          <w:p>
            <w:r>
              <w:rPr>
                <w:sz w:val="17"/>
              </w:rPr>
              <w:t>_trigger_threshold_matrix(df_trials, side)</w:t>
            </w:r>
          </w:p>
        </w:tc>
        <w:tc>
          <w:tcPr>
            <w:tcW w:type="dxa" w:w="2520"/>
          </w:tcPr>
          <w:p>
            <w:r>
              <w:rPr>
                <w:sz w:val="17"/>
              </w:rPr>
              <w:t>Exact adaptive trigger threshold used by the real-time decision.</w:t>
            </w:r>
          </w:p>
        </w:tc>
      </w:tr>
      <w:tr>
        <w:tc>
          <w:tcPr>
            <w:tcW w:type="dxa" w:w="2520"/>
          </w:tcPr>
          <w:p>
            <w:r>
              <w:rPr>
                <w:sz w:val="17"/>
              </w:rPr>
              <w:t>3264–3279</w:t>
            </w:r>
          </w:p>
        </w:tc>
        <w:tc>
          <w:tcPr>
            <w:tcW w:type="dxa" w:w="2520"/>
          </w:tcPr>
          <w:p>
            <w:r>
              <w:rPr>
                <w:sz w:val="17"/>
              </w:rPr>
              <w:t>Function</w:t>
            </w:r>
          </w:p>
        </w:tc>
        <w:tc>
          <w:tcPr>
            <w:tcW w:type="dxa" w:w="2520"/>
          </w:tcPr>
          <w:p>
            <w:r>
              <w:rPr>
                <w:sz w:val="17"/>
              </w:rPr>
              <w:t>_smooth_curve(x, y, n)</w:t>
            </w:r>
          </w:p>
        </w:tc>
        <w:tc>
          <w:tcPr>
            <w:tcW w:type="dxa" w:w="2520"/>
          </w:tcPr>
          <w:p>
            <w:r>
              <w:rPr>
                <w:sz w:val="17"/>
              </w:rPr>
              <w:t>Smooth an observed checkpoint trajectory without extrapolating it.</w:t>
            </w:r>
          </w:p>
        </w:tc>
      </w:tr>
      <w:tr>
        <w:tc>
          <w:tcPr>
            <w:tcW w:type="dxa" w:w="2520"/>
          </w:tcPr>
          <w:p>
            <w:r>
              <w:rPr>
                <w:sz w:val="17"/>
              </w:rPr>
              <w:t>3282–3292</w:t>
            </w:r>
          </w:p>
        </w:tc>
        <w:tc>
          <w:tcPr>
            <w:tcW w:type="dxa" w:w="2520"/>
          </w:tcPr>
          <w:p>
            <w:r>
              <w:rPr>
                <w:sz w:val="17"/>
              </w:rPr>
              <w:t>Function</w:t>
            </w:r>
          </w:p>
        </w:tc>
        <w:tc>
          <w:tcPr>
            <w:tcW w:type="dxa" w:w="2520"/>
          </w:tcPr>
          <w:p>
            <w:r>
              <w:rPr>
                <w:sz w:val="17"/>
              </w:rPr>
              <w:t>_finite_mean_sd(matrix)</w:t>
            </w:r>
          </w:p>
        </w:tc>
        <w:tc>
          <w:tcPr>
            <w:tcW w:type="dxa" w:w="2520"/>
          </w:tcPr>
          <w:p>
            <w:r>
              <w:rPr>
                <w:sz w:val="17"/>
              </w:rPr>
              <w:t>Column-wise mean/SD while avoiding warnings for all-NaN columns.</w:t>
            </w:r>
          </w:p>
        </w:tc>
      </w:tr>
      <w:tr>
        <w:tc>
          <w:tcPr>
            <w:tcW w:type="dxa" w:w="2520"/>
          </w:tcPr>
          <w:p>
            <w:r>
              <w:rPr>
                <w:sz w:val="17"/>
              </w:rPr>
              <w:t>3301–3315</w:t>
            </w:r>
          </w:p>
        </w:tc>
        <w:tc>
          <w:tcPr>
            <w:tcW w:type="dxa" w:w="2520"/>
          </w:tcPr>
          <w:p>
            <w:r>
              <w:rPr>
                <w:sz w:val="17"/>
              </w:rPr>
              <w:t>Function</w:t>
            </w:r>
          </w:p>
        </w:tc>
        <w:tc>
          <w:tcPr>
            <w:tcW w:type="dxa" w:w="2520"/>
          </w:tcPr>
          <w:p>
            <w:r>
              <w:rPr>
                <w:sz w:val="17"/>
              </w:rPr>
              <w:t>plot_force_data(time_data, right_force_data, trial_log, out_dir)</w:t>
            </w:r>
          </w:p>
        </w:tc>
        <w:tc>
          <w:tcPr>
            <w:tcW w:type="dxa" w:w="2520"/>
          </w:tcPr>
          <w:p>
            <w:r>
              <w:rPr>
                <w:sz w:val="17"/>
              </w:rPr>
              <w:t>Whole-session RIGHT-handle force trace.</w:t>
            </w:r>
          </w:p>
        </w:tc>
      </w:tr>
      <w:tr>
        <w:tc>
          <w:tcPr>
            <w:tcW w:type="dxa" w:w="2520"/>
          </w:tcPr>
          <w:p>
            <w:r>
              <w:rPr>
                <w:sz w:val="17"/>
              </w:rPr>
              <w:t>3317–3327</w:t>
            </w:r>
          </w:p>
        </w:tc>
        <w:tc>
          <w:tcPr>
            <w:tcW w:type="dxa" w:w="2520"/>
          </w:tcPr>
          <w:p>
            <w:r>
              <w:rPr>
                <w:sz w:val="17"/>
              </w:rPr>
              <w:t>Function</w:t>
            </w:r>
          </w:p>
        </w:tc>
        <w:tc>
          <w:tcPr>
            <w:tcW w:type="dxa" w:w="2520"/>
          </w:tcPr>
          <w:p>
            <w:r>
              <w:rPr>
                <w:sz w:val="17"/>
              </w:rPr>
              <w:t>_nearest_available_checkpoints(target_ms, available_ms)</w:t>
            </w:r>
          </w:p>
        </w:tc>
        <w:tc>
          <w:tcPr>
            <w:tcW w:type="dxa" w:w="2520"/>
          </w:tcPr>
          <w:p>
            <w:r>
              <w:rPr>
                <w:sz w:val="17"/>
              </w:rPr>
              <w:t>Return unique real checkpoints nearest to requested display times.</w:t>
            </w:r>
          </w:p>
        </w:tc>
      </w:tr>
      <w:tr>
        <w:tc>
          <w:tcPr>
            <w:tcW w:type="dxa" w:w="2520"/>
          </w:tcPr>
          <w:p>
            <w:r>
              <w:rPr>
                <w:sz w:val="17"/>
              </w:rPr>
              <w:t>3334–3443</w:t>
            </w:r>
          </w:p>
        </w:tc>
        <w:tc>
          <w:tcPr>
            <w:tcW w:type="dxa" w:w="2520"/>
          </w:tcPr>
          <w:p>
            <w:r>
              <w:rPr>
                <w:sz w:val="17"/>
              </w:rPr>
              <w:t>Function</w:t>
            </w:r>
          </w:p>
        </w:tc>
        <w:tc>
          <w:tcPr>
            <w:tcW w:type="dxa" w:w="2520"/>
          </w:tcPr>
          <w:p>
            <w:r>
              <w:rPr>
                <w:sz w:val="17"/>
              </w:rPr>
              <w:t>plot_trial_rfd(df_trials, out_dir)</w:t>
            </w:r>
          </w:p>
        </w:tc>
        <w:tc>
          <w:tcPr>
            <w:tcW w:type="dxa" w:w="2520"/>
          </w:tcPr>
          <w:p>
            <w:r>
              <w:rPr>
                <w:sz w:val="17"/>
              </w:rPr>
              <w:t>RIGHT-handle local RFD across trials at multiple onset timepoints.</w:t>
            </w:r>
          </w:p>
        </w:tc>
      </w:tr>
      <w:tr>
        <w:tc>
          <w:tcPr>
            <w:tcW w:type="dxa" w:w="2520"/>
          </w:tcPr>
          <w:p>
            <w:r>
              <w:rPr>
                <w:sz w:val="17"/>
              </w:rPr>
              <w:t>3451–3472</w:t>
            </w:r>
          </w:p>
        </w:tc>
        <w:tc>
          <w:tcPr>
            <w:tcW w:type="dxa" w:w="2520"/>
          </w:tcPr>
          <w:p>
            <w:r>
              <w:rPr>
                <w:sz w:val="17"/>
              </w:rPr>
              <w:t>Function</w:t>
            </w:r>
          </w:p>
        </w:tc>
        <w:tc>
          <w:tcPr>
            <w:tcW w:type="dxa" w:w="2520"/>
          </w:tcPr>
          <w:p>
            <w:r>
              <w:rPr>
                <w:sz w:val="17"/>
              </w:rPr>
              <w:t>plot_onset_aligned_forces(trial_timeseries, out_dir)</w:t>
            </w:r>
          </w:p>
        </w:tc>
        <w:tc>
          <w:tcPr>
            <w:tcW w:type="dxa" w:w="2520"/>
          </w:tcPr>
          <w:p>
            <w:r>
              <w:rPr>
                <w:sz w:val="17"/>
              </w:rPr>
              <w:t>Overlay RIGHT-handle force traces aligned to force onset.</w:t>
            </w:r>
          </w:p>
        </w:tc>
      </w:tr>
      <w:tr>
        <w:tc>
          <w:tcPr>
            <w:tcW w:type="dxa" w:w="2520"/>
          </w:tcPr>
          <w:p>
            <w:r>
              <w:rPr>
                <w:sz w:val="17"/>
              </w:rPr>
              <w:t>3478–3536</w:t>
            </w:r>
          </w:p>
        </w:tc>
        <w:tc>
          <w:tcPr>
            <w:tcW w:type="dxa" w:w="2520"/>
          </w:tcPr>
          <w:p>
            <w:r>
              <w:rPr>
                <w:sz w:val="17"/>
              </w:rPr>
              <w:t>Function</w:t>
            </w:r>
          </w:p>
        </w:tc>
        <w:tc>
          <w:tcPr>
            <w:tcW w:type="dxa" w:w="2520"/>
          </w:tcPr>
          <w:p>
            <w:r>
              <w:rPr>
                <w:sz w:val="17"/>
              </w:rPr>
              <w:t>resolve_rfd_limits(df_trials, df_timeseries)</w:t>
            </w:r>
          </w:p>
        </w:tc>
        <w:tc>
          <w:tcPr>
            <w:tcW w:type="dxa" w:w="2520"/>
          </w:tcPr>
          <w:p>
            <w:r>
              <w:rPr>
                <w:sz w:val="17"/>
              </w:rPr>
              <w:t>Decide ONE RFD axis range for the whole session, so every trial</w:t>
            </w:r>
          </w:p>
        </w:tc>
      </w:tr>
      <w:tr>
        <w:tc>
          <w:tcPr>
            <w:tcW w:type="dxa" w:w="2520"/>
          </w:tcPr>
          <w:p>
            <w:r>
              <w:rPr>
                <w:sz w:val="17"/>
              </w:rPr>
              <w:t>3539–3542</w:t>
            </w:r>
          </w:p>
        </w:tc>
        <w:tc>
          <w:tcPr>
            <w:tcW w:type="dxa" w:w="2520"/>
          </w:tcPr>
          <w:p>
            <w:r>
              <w:rPr>
                <w:sz w:val="17"/>
              </w:rPr>
              <w:t>Function</w:t>
            </w:r>
          </w:p>
        </w:tc>
        <w:tc>
          <w:tcPr>
            <w:tcW w:type="dxa" w:w="2520"/>
          </w:tcPr>
          <w:p>
            <w:r>
              <w:rPr>
                <w:sz w:val="17"/>
              </w:rPr>
              <w:t>_label(value, fmt)</w:t>
            </w:r>
          </w:p>
        </w:tc>
        <w:tc>
          <w:tcPr>
            <w:tcW w:type="dxa" w:w="2520"/>
          </w:tcPr>
          <w:p>
            <w:r>
              <w:rPr>
                <w:sz w:val="17"/>
              </w:rPr>
              <w:t>Internal helper; purpose inferred from its implementation and call sites.</w:t>
            </w:r>
          </w:p>
        </w:tc>
      </w:tr>
      <w:tr>
        <w:tc>
          <w:tcPr>
            <w:tcW w:type="dxa" w:w="2520"/>
          </w:tcPr>
          <w:p>
            <w:r>
              <w:rPr>
                <w:sz w:val="17"/>
              </w:rPr>
              <w:t>3545–3816</w:t>
            </w:r>
          </w:p>
        </w:tc>
        <w:tc>
          <w:tcPr>
            <w:tcW w:type="dxa" w:w="2520"/>
          </w:tcPr>
          <w:p>
            <w:r>
              <w:rPr>
                <w:sz w:val="17"/>
              </w:rPr>
              <w:t>Function</w:t>
            </w:r>
          </w:p>
        </w:tc>
        <w:tc>
          <w:tcPr>
            <w:tcW w:type="dxa" w:w="2520"/>
          </w:tcPr>
          <w:p>
            <w:r>
              <w:rPr>
                <w:sz w:val="17"/>
              </w:rPr>
              <w:t>plot_individual_trial_figures(df_timeseries, df_trials, out_dir, rfd_limits)</w:t>
            </w:r>
          </w:p>
        </w:tc>
        <w:tc>
          <w:tcPr>
            <w:tcW w:type="dxa" w:w="2520"/>
          </w:tcPr>
          <w:p>
            <w:r>
              <w:rPr>
                <w:sz w:val="17"/>
              </w:rPr>
              <w:t>Publication-style RIGHT-handle force/RFD figure for every trial.</w:t>
            </w:r>
          </w:p>
        </w:tc>
      </w:tr>
      <w:tr>
        <w:tc>
          <w:tcPr>
            <w:tcW w:type="dxa" w:w="2520"/>
          </w:tcPr>
          <w:p>
            <w:r>
              <w:rPr>
                <w:sz w:val="17"/>
              </w:rPr>
              <w:t>3822–3850</w:t>
            </w:r>
          </w:p>
        </w:tc>
        <w:tc>
          <w:tcPr>
            <w:tcW w:type="dxa" w:w="2520"/>
          </w:tcPr>
          <w:p>
            <w:r>
              <w:rPr>
                <w:sz w:val="17"/>
              </w:rPr>
              <w:t>Function</w:t>
            </w:r>
          </w:p>
        </w:tc>
        <w:tc>
          <w:tcPr>
            <w:tcW w:type="dxa" w:w="2520"/>
          </w:tcPr>
          <w:p>
            <w:r>
              <w:rPr>
                <w:sz w:val="17"/>
              </w:rPr>
              <w:t>plot_mean_rfd_profile(df_trials, out_dir, rfd_limits)</w:t>
            </w:r>
          </w:p>
        </w:tc>
        <w:tc>
          <w:tcPr>
            <w:tcW w:type="dxa" w:w="2520"/>
          </w:tcPr>
          <w:p>
            <w:r>
              <w:rPr>
                <w:sz w:val="17"/>
              </w:rPr>
              <w:t>Mean RIGHT-handle checkpoint RFD +/- SD and mean adaptive threshold.</w:t>
            </w:r>
          </w:p>
        </w:tc>
      </w:tr>
      <w:tr>
        <w:tc>
          <w:tcPr>
            <w:tcW w:type="dxa" w:w="2520"/>
          </w:tcPr>
          <w:p>
            <w:r>
              <w:rPr>
                <w:sz w:val="17"/>
              </w:rPr>
              <w:t>3852–3876</w:t>
            </w:r>
          </w:p>
        </w:tc>
        <w:tc>
          <w:tcPr>
            <w:tcW w:type="dxa" w:w="2520"/>
          </w:tcPr>
          <w:p>
            <w:r>
              <w:rPr>
                <w:sz w:val="17"/>
              </w:rPr>
              <w:t>Function</w:t>
            </w:r>
          </w:p>
        </w:tc>
        <w:tc>
          <w:tcPr>
            <w:tcW w:type="dxa" w:w="2520"/>
          </w:tcPr>
          <w:p>
            <w:r>
              <w:rPr>
                <w:sz w:val="17"/>
              </w:rPr>
              <w:t>plot_rfd_spaghetti(df_trials, out_dir, rfd_limits)</w:t>
            </w:r>
          </w:p>
        </w:tc>
        <w:tc>
          <w:tcPr>
            <w:tcW w:type="dxa" w:w="2520"/>
          </w:tcPr>
          <w:p>
            <w:r>
              <w:rPr>
                <w:sz w:val="17"/>
              </w:rPr>
              <w:t>RIGHT-handle trial trajectories with session mean, SD and threshold.</w:t>
            </w:r>
          </w:p>
        </w:tc>
      </w:tr>
      <w:tr>
        <w:tc>
          <w:tcPr>
            <w:tcW w:type="dxa" w:w="2520"/>
          </w:tcPr>
          <w:p>
            <w:r>
              <w:rPr>
                <w:sz w:val="17"/>
              </w:rPr>
              <w:t>3878–3905</w:t>
            </w:r>
          </w:p>
        </w:tc>
        <w:tc>
          <w:tcPr>
            <w:tcW w:type="dxa" w:w="2520"/>
          </w:tcPr>
          <w:p>
            <w:r>
              <w:rPr>
                <w:sz w:val="17"/>
              </w:rPr>
              <w:t>Function</w:t>
            </w:r>
          </w:p>
        </w:tc>
        <w:tc>
          <w:tcPr>
            <w:tcW w:type="dxa" w:w="2520"/>
          </w:tcPr>
          <w:p>
            <w:r>
              <w:rPr>
                <w:sz w:val="17"/>
              </w:rPr>
              <w:t>plot_rfd_heatmap(df_trials, out_dir)</w:t>
            </w:r>
          </w:p>
        </w:tc>
        <w:tc>
          <w:tcPr>
            <w:tcW w:type="dxa" w:w="2520"/>
          </w:tcPr>
          <w:p>
            <w:r>
              <w:rPr>
                <w:sz w:val="17"/>
              </w:rPr>
              <w:t>RIGHT-handle trials x checkpoints heatmap; stars mark triggers.</w:t>
            </w:r>
          </w:p>
        </w:tc>
      </w:tr>
      <w:tr>
        <w:tc>
          <w:tcPr>
            <w:tcW w:type="dxa" w:w="2520"/>
          </w:tcPr>
          <w:p>
            <w:r>
              <w:rPr>
                <w:sz w:val="17"/>
              </w:rPr>
              <w:t>3907–3924</w:t>
            </w:r>
          </w:p>
        </w:tc>
        <w:tc>
          <w:tcPr>
            <w:tcW w:type="dxa" w:w="2520"/>
          </w:tcPr>
          <w:p>
            <w:r>
              <w:rPr>
                <w:sz w:val="17"/>
              </w:rPr>
              <w:t>Function</w:t>
            </w:r>
          </w:p>
        </w:tc>
        <w:tc>
          <w:tcPr>
            <w:tcW w:type="dxa" w:w="2520"/>
          </w:tcPr>
          <w:p>
            <w:r>
              <w:rPr>
                <w:sz w:val="17"/>
              </w:rPr>
              <w:t>plot_trigger_map(df_trials, out_dir)</w:t>
            </w:r>
          </w:p>
        </w:tc>
        <w:tc>
          <w:tcPr>
            <w:tcW w:type="dxa" w:w="2520"/>
          </w:tcPr>
          <w:p>
            <w:r>
              <w:rPr>
                <w:sz w:val="17"/>
              </w:rPr>
              <w:t>RIGHT-handle trial number versus stimulation trigger checkpoint.</w:t>
            </w:r>
          </w:p>
        </w:tc>
      </w:tr>
      <w:tr>
        <w:tc>
          <w:tcPr>
            <w:tcW w:type="dxa" w:w="2520"/>
          </w:tcPr>
          <w:p>
            <w:r>
              <w:rPr>
                <w:sz w:val="17"/>
              </w:rPr>
              <w:t>3926–3942</w:t>
            </w:r>
          </w:p>
        </w:tc>
        <w:tc>
          <w:tcPr>
            <w:tcW w:type="dxa" w:w="2520"/>
          </w:tcPr>
          <w:p>
            <w:r>
              <w:rPr>
                <w:sz w:val="17"/>
              </w:rPr>
              <w:t>Function</w:t>
            </w:r>
          </w:p>
        </w:tc>
        <w:tc>
          <w:tcPr>
            <w:tcW w:type="dxa" w:w="2520"/>
          </w:tcPr>
          <w:p>
            <w:r>
              <w:rPr>
                <w:sz w:val="17"/>
              </w:rPr>
              <w:t>plot_threshold_evolution(df_trials, out_dir, rfd_limits)</w:t>
            </w:r>
          </w:p>
        </w:tc>
        <w:tc>
          <w:tcPr>
            <w:tcW w:type="dxa" w:w="2520"/>
          </w:tcPr>
          <w:p>
            <w:r>
              <w:rPr>
                <w:sz w:val="17"/>
              </w:rPr>
              <w:t>RIGHT-handle adaptive threshold at every checkpoint over trials.</w:t>
            </w:r>
          </w:p>
        </w:tc>
      </w:tr>
      <w:tr>
        <w:tc>
          <w:tcPr>
            <w:tcW w:type="dxa" w:w="2520"/>
          </w:tcPr>
          <w:p>
            <w:r>
              <w:rPr>
                <w:sz w:val="17"/>
              </w:rPr>
              <w:t>3944–3964</w:t>
            </w:r>
          </w:p>
        </w:tc>
        <w:tc>
          <w:tcPr>
            <w:tcW w:type="dxa" w:w="2520"/>
          </w:tcPr>
          <w:p>
            <w:r>
              <w:rPr>
                <w:sz w:val="17"/>
              </w:rPr>
              <w:t>Function</w:t>
            </w:r>
          </w:p>
        </w:tc>
        <w:tc>
          <w:tcPr>
            <w:tcW w:type="dxa" w:w="2520"/>
          </w:tcPr>
          <w:p>
            <w:r>
              <w:rPr>
                <w:sz w:val="17"/>
              </w:rPr>
              <w:t>plot_session_rfd_summaries(df_trials, out_dir, rfd_limits)</w:t>
            </w:r>
          </w:p>
        </w:tc>
        <w:tc>
          <w:tcPr>
            <w:tcW w:type="dxa" w:w="2520"/>
          </w:tcPr>
          <w:p>
            <w:r>
              <w:rPr>
                <w:sz w:val="17"/>
              </w:rPr>
              <w:t>Create all session-level RFD, Force, and combined visualisations.</w:t>
            </w:r>
          </w:p>
        </w:tc>
      </w:tr>
      <w:tr>
        <w:tc>
          <w:tcPr>
            <w:tcW w:type="dxa" w:w="2520"/>
          </w:tcPr>
          <w:p>
            <w:r>
              <w:rPr>
                <w:sz w:val="17"/>
              </w:rPr>
              <w:t>3972–3979</w:t>
            </w:r>
          </w:p>
        </w:tc>
        <w:tc>
          <w:tcPr>
            <w:tcW w:type="dxa" w:w="2520"/>
          </w:tcPr>
          <w:p>
            <w:r>
              <w:rPr>
                <w:sz w:val="17"/>
              </w:rPr>
              <w:t>Function</w:t>
            </w:r>
          </w:p>
        </w:tc>
        <w:tc>
          <w:tcPr>
            <w:tcW w:type="dxa" w:w="2520"/>
          </w:tcPr>
          <w:p>
            <w:r>
              <w:rPr>
                <w:sz w:val="17"/>
              </w:rPr>
              <w:t>_summary_checkpoint_keys(df_trials, prefix)</w:t>
            </w:r>
          </w:p>
        </w:tc>
        <w:tc>
          <w:tcPr>
            <w:tcW w:type="dxa" w:w="2520"/>
          </w:tcPr>
          <w:p>
            <w:r>
              <w:rPr>
                <w:sz w:val="17"/>
              </w:rPr>
              <w:t>Internal helper; purpose inferred from its implementation and call sites.</w:t>
            </w:r>
          </w:p>
        </w:tc>
      </w:tr>
      <w:tr>
        <w:tc>
          <w:tcPr>
            <w:tcW w:type="dxa" w:w="2520"/>
          </w:tcPr>
          <w:p>
            <w:r>
              <w:rPr>
                <w:sz w:val="17"/>
              </w:rPr>
              <w:t>3982–4023</w:t>
            </w:r>
          </w:p>
        </w:tc>
        <w:tc>
          <w:tcPr>
            <w:tcW w:type="dxa" w:w="2520"/>
          </w:tcPr>
          <w:p>
            <w:r>
              <w:rPr>
                <w:sz w:val="17"/>
              </w:rPr>
              <w:t>Function</w:t>
            </w:r>
          </w:p>
        </w:tc>
        <w:tc>
          <w:tcPr>
            <w:tcW w:type="dxa" w:w="2520"/>
          </w:tcPr>
          <w:p>
            <w:r>
              <w:rPr>
                <w:sz w:val="17"/>
              </w:rPr>
              <w:t>plot_mean_force_profile(df_trials, out_dir)</w:t>
            </w:r>
          </w:p>
        </w:tc>
        <w:tc>
          <w:tcPr>
            <w:tcW w:type="dxa" w:w="2520"/>
          </w:tcPr>
          <w:p>
            <w:r>
              <w:rPr>
                <w:sz w:val="17"/>
              </w:rPr>
              <w:t>Internal helper; purpose inferred from its implementation and call sites.</w:t>
            </w:r>
          </w:p>
        </w:tc>
      </w:tr>
      <w:tr>
        <w:tc>
          <w:tcPr>
            <w:tcW w:type="dxa" w:w="2520"/>
          </w:tcPr>
          <w:p>
            <w:r>
              <w:rPr>
                <w:sz w:val="17"/>
              </w:rPr>
              <w:t>4026–4056</w:t>
            </w:r>
          </w:p>
        </w:tc>
        <w:tc>
          <w:tcPr>
            <w:tcW w:type="dxa" w:w="2520"/>
          </w:tcPr>
          <w:p>
            <w:r>
              <w:rPr>
                <w:sz w:val="17"/>
              </w:rPr>
              <w:t>Function</w:t>
            </w:r>
          </w:p>
        </w:tc>
        <w:tc>
          <w:tcPr>
            <w:tcW w:type="dxa" w:w="2520"/>
          </w:tcPr>
          <w:p>
            <w:r>
              <w:rPr>
                <w:sz w:val="17"/>
              </w:rPr>
              <w:t>plot_force_spaghetti(df_trials, out_dir)</w:t>
            </w:r>
          </w:p>
        </w:tc>
        <w:tc>
          <w:tcPr>
            <w:tcW w:type="dxa" w:w="2520"/>
          </w:tcPr>
          <w:p>
            <w:r>
              <w:rPr>
                <w:sz w:val="17"/>
              </w:rPr>
              <w:t>Internal helper; purpose inferred from its implementation and call sites.</w:t>
            </w:r>
          </w:p>
        </w:tc>
      </w:tr>
      <w:tr>
        <w:tc>
          <w:tcPr>
            <w:tcW w:type="dxa" w:w="2520"/>
          </w:tcPr>
          <w:p>
            <w:r>
              <w:rPr>
                <w:sz w:val="17"/>
              </w:rPr>
              <w:t>4059–4096</w:t>
            </w:r>
          </w:p>
        </w:tc>
        <w:tc>
          <w:tcPr>
            <w:tcW w:type="dxa" w:w="2520"/>
          </w:tcPr>
          <w:p>
            <w:r>
              <w:rPr>
                <w:sz w:val="17"/>
              </w:rPr>
              <w:t>Function</w:t>
            </w:r>
          </w:p>
        </w:tc>
        <w:tc>
          <w:tcPr>
            <w:tcW w:type="dxa" w:w="2520"/>
          </w:tcPr>
          <w:p>
            <w:r>
              <w:rPr>
                <w:sz w:val="17"/>
              </w:rPr>
              <w:t>plot_force_heatmap(df_trials, out_dir)</w:t>
            </w:r>
          </w:p>
        </w:tc>
        <w:tc>
          <w:tcPr>
            <w:tcW w:type="dxa" w:w="2520"/>
          </w:tcPr>
          <w:p>
            <w:r>
              <w:rPr>
                <w:sz w:val="17"/>
              </w:rPr>
              <w:t>Internal helper; purpose inferred from its implementation and call sites.</w:t>
            </w:r>
          </w:p>
        </w:tc>
      </w:tr>
      <w:tr>
        <w:tc>
          <w:tcPr>
            <w:tcW w:type="dxa" w:w="2520"/>
          </w:tcPr>
          <w:p>
            <w:r>
              <w:rPr>
                <w:sz w:val="17"/>
              </w:rPr>
              <w:t>4099–4129</w:t>
            </w:r>
          </w:p>
        </w:tc>
        <w:tc>
          <w:tcPr>
            <w:tcW w:type="dxa" w:w="2520"/>
          </w:tcPr>
          <w:p>
            <w:r>
              <w:rPr>
                <w:sz w:val="17"/>
              </w:rPr>
              <w:t>Function</w:t>
            </w:r>
          </w:p>
        </w:tc>
        <w:tc>
          <w:tcPr>
            <w:tcW w:type="dxa" w:w="2520"/>
          </w:tcPr>
          <w:p>
            <w:r>
              <w:rPr>
                <w:sz w:val="17"/>
              </w:rPr>
              <w:t>plot_force_reference_evolution(df_trials, out_dir)</w:t>
            </w:r>
          </w:p>
        </w:tc>
        <w:tc>
          <w:tcPr>
            <w:tcW w:type="dxa" w:w="2520"/>
          </w:tcPr>
          <w:p>
            <w:r>
              <w:rPr>
                <w:sz w:val="17"/>
              </w:rPr>
              <w:t>Internal helper; purpose inferred from its implementation and call sites.</w:t>
            </w:r>
          </w:p>
        </w:tc>
      </w:tr>
      <w:tr>
        <w:tc>
          <w:tcPr>
            <w:tcW w:type="dxa" w:w="2520"/>
          </w:tcPr>
          <w:p>
            <w:r>
              <w:rPr>
                <w:sz w:val="17"/>
              </w:rPr>
              <w:t>4136–4228</w:t>
            </w:r>
          </w:p>
        </w:tc>
        <w:tc>
          <w:tcPr>
            <w:tcW w:type="dxa" w:w="2520"/>
          </w:tcPr>
          <w:p>
            <w:r>
              <w:rPr>
                <w:sz w:val="17"/>
              </w:rPr>
              <w:t>Function</w:t>
            </w:r>
          </w:p>
        </w:tc>
        <w:tc>
          <w:tcPr>
            <w:tcW w:type="dxa" w:w="2520"/>
          </w:tcPr>
          <w:p>
            <w:r>
              <w:rPr>
                <w:sz w:val="17"/>
              </w:rPr>
              <w:t>plot_rfd_force_phase_map(df_trials, out_dir)</w:t>
            </w:r>
          </w:p>
        </w:tc>
        <w:tc>
          <w:tcPr>
            <w:tcW w:type="dxa" w:w="2520"/>
          </w:tcPr>
          <w:p>
            <w:r>
              <w:rPr>
                <w:sz w:val="17"/>
              </w:rPr>
              <w:t>Multi-timepoint local-RFD versus Force phase map.</w:t>
            </w:r>
          </w:p>
        </w:tc>
      </w:tr>
      <w:tr>
        <w:tc>
          <w:tcPr>
            <w:tcW w:type="dxa" w:w="2520"/>
          </w:tcPr>
          <w:p>
            <w:r>
              <w:rPr>
                <w:sz w:val="17"/>
              </w:rPr>
              <w:t>4232–4280</w:t>
            </w:r>
          </w:p>
        </w:tc>
        <w:tc>
          <w:tcPr>
            <w:tcW w:type="dxa" w:w="2520"/>
          </w:tcPr>
          <w:p>
            <w:r>
              <w:rPr>
                <w:sz w:val="17"/>
              </w:rPr>
              <w:t>Function</w:t>
            </w:r>
          </w:p>
        </w:tc>
        <w:tc>
          <w:tcPr>
            <w:tcW w:type="dxa" w:w="2520"/>
          </w:tcPr>
          <w:p>
            <w:r>
              <w:rPr>
                <w:sz w:val="17"/>
              </w:rPr>
              <w:t>plot_rfd_force_normalized_overview(df_trials, out_dir)</w:t>
            </w:r>
          </w:p>
        </w:tc>
        <w:tc>
          <w:tcPr>
            <w:tcW w:type="dxa" w:w="2520"/>
          </w:tcPr>
          <w:p>
            <w:r>
              <w:rPr>
                <w:sz w:val="17"/>
              </w:rPr>
              <w:t>Internal helper; purpose inferred from its implementation and call sites.</w:t>
            </w:r>
          </w:p>
        </w:tc>
      </w:tr>
      <w:tr>
        <w:tc>
          <w:tcPr>
            <w:tcW w:type="dxa" w:w="2520"/>
          </w:tcPr>
          <w:p>
            <w:r>
              <w:rPr>
                <w:sz w:val="17"/>
              </w:rPr>
              <w:t>4287–4324</w:t>
            </w:r>
          </w:p>
        </w:tc>
        <w:tc>
          <w:tcPr>
            <w:tcW w:type="dxa" w:w="2520"/>
          </w:tcPr>
          <w:p>
            <w:r>
              <w:rPr>
                <w:sz w:val="17"/>
              </w:rPr>
              <w:t>Function</w:t>
            </w:r>
          </w:p>
        </w:tc>
        <w:tc>
          <w:tcPr>
            <w:tcW w:type="dxa" w:w="2520"/>
          </w:tcPr>
          <w:p>
            <w:r>
              <w:rPr>
                <w:sz w:val="17"/>
              </w:rPr>
              <w:t>matlab_safe(values)</w:t>
            </w:r>
          </w:p>
        </w:tc>
        <w:tc>
          <w:tcPr>
            <w:tcW w:type="dxa" w:w="2520"/>
          </w:tcPr>
          <w:p>
            <w:r>
              <w:rPr>
                <w:sz w:val="17"/>
              </w:rPr>
              <w:t>Convert a pandas column into something savemat can serialise.</w:t>
            </w:r>
          </w:p>
        </w:tc>
      </w:tr>
      <w:tr>
        <w:tc>
          <w:tcPr>
            <w:tcW w:type="dxa" w:w="2520"/>
          </w:tcPr>
          <w:p>
            <w:r>
              <w:rPr>
                <w:sz w:val="17"/>
              </w:rPr>
              <w:t>4331–5127</w:t>
            </w:r>
          </w:p>
        </w:tc>
        <w:tc>
          <w:tcPr>
            <w:tcW w:type="dxa" w:w="2520"/>
          </w:tcPr>
          <w:p>
            <w:r>
              <w:rPr>
                <w:sz w:val="17"/>
              </w:rPr>
              <w:t>Function</w:t>
            </w:r>
          </w:p>
        </w:tc>
        <w:tc>
          <w:tcPr>
            <w:tcW w:type="dxa" w:w="2520"/>
          </w:tcPr>
          <w:p>
            <w:r>
              <w:rPr>
                <w:sz w:val="17"/>
              </w:rPr>
              <w:t>main()</w:t>
            </w:r>
          </w:p>
        </w:tc>
        <w:tc>
          <w:tcPr>
            <w:tcW w:type="dxa" w:w="2520"/>
          </w:tcPr>
          <w:p>
            <w:r>
              <w:rPr>
                <w:sz w:val="17"/>
              </w:rPr>
              <w:t>Internal helper; purpose inferred from its implementation and call sites.</w:t>
            </w:r>
          </w:p>
        </w:tc>
      </w:tr>
    </w:tbl>
    <w:p>
      <w:pPr>
        <w:pStyle w:val="Heading1"/>
      </w:pPr>
      <w:r>
        <w:t>20. Practical interpretation of the adaptive rule</w:t>
      </w:r>
    </w:p>
    <w:p>
      <w:r>
        <w:t>For a concrete BELOW/COMBINED example, suppose the adaptive RFD reference at a checkpoint is 8.0 MVC/s and the force reference is 0.60 MVC. The 10% margins produce an RFD decision boundary of 7.2 MVC/s and a force decision boundary of 0.54 MVC. A trigger requires current local RFD &lt; 7.2 AND current force &lt; 0.54 AND current force &lt; 0.75 MVC. If the RFD is low but force is already 0.80 MVC, COMBINED does not trigger because the force gate and the high-force ceiling fail. This is the intended protection against interpreting the natural fall of local RFD near a successful plateau as a low-performance event.</w:t>
      </w:r>
    </w:p>
    <w:p>
      <w:r>
        <w:t>For ABOVE/COMBINED using the same references, the RFD boundary is 8.8 MVC/s and the force boundary is 0.66 MVC. A trigger requires both current local RFD &gt; 8.8 and current force &gt; 0.66. The first checkpoint meeting the full rule sends the stimulation pulse and ends adaptive checking for that trial.</w:t>
      </w:r>
    </w:p>
    <w:p>
      <w:pPr>
        <w:pStyle w:val="Heading1"/>
      </w:pPr>
      <w:r>
        <w:t>21. Summary</w:t>
      </w:r>
    </w:p>
    <w:p>
      <w:r>
        <w:t>V6 is best understood as a baseline-seeded, onset-anchored, checkpoint-adaptive force task. Calibration converts device displacement into normalized MVC force; baseline establishes an individualized early-force window and reference trajectories; the main task repeatedly compares 20-ms local RFD and/or checkpoint force with rolling three-profile references; a ±10% margin defines meaningful deviation; and a first-passing-checkpoint rule determines whether stimulation occurs. The implementation also includes explicit timing guards, no-onset handling, high-force suppression for corrective BELOW triggering, hardware-optional debugging, comprehensive trial/time-series exports, and a substantial plotting pipeline.</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Technical description generated from the supplied V6 source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AdaptiveTh_TMS_task_ADPTPD_V6.py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